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" w:type="dxa"/>
        <w:tblLook w:val="04A0" w:firstRow="1" w:lastRow="0" w:firstColumn="1" w:lastColumn="0" w:noHBand="0" w:noVBand="1"/>
      </w:tblPr>
      <w:tblGrid>
        <w:gridCol w:w="609"/>
        <w:gridCol w:w="731"/>
        <w:gridCol w:w="444"/>
        <w:gridCol w:w="1256"/>
      </w:tblGrid>
      <w:tr w:rsidR="00E364F6" w:rsidRPr="002074E9" w14:paraId="24A1A9D3" w14:textId="77777777" w:rsidTr="004626C4">
        <w:trPr>
          <w:trHeight w:val="186"/>
        </w:trPr>
        <w:tc>
          <w:tcPr>
            <w:tcW w:w="1340" w:type="dxa"/>
            <w:gridSpan w:val="2"/>
            <w:tcBorders>
              <w:bottom w:val="single" w:sz="4" w:space="0" w:color="auto"/>
            </w:tcBorders>
          </w:tcPr>
          <w:p w14:paraId="0EB7491C" w14:textId="77777777" w:rsidR="00E364F6" w:rsidRPr="002074E9" w:rsidRDefault="00E364F6" w:rsidP="004626C4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87C6CF9" w14:textId="77777777" w:rsidR="00E364F6" w:rsidRPr="002074E9" w:rsidRDefault="00E364F6" w:rsidP="004626C4">
            <w:pPr>
              <w:ind w:right="-391"/>
              <w:rPr>
                <w:rFonts w:ascii="Arial" w:hAnsi="Arial" w:cs="Arial"/>
                <w:sz w:val="20"/>
                <w:szCs w:val="20"/>
              </w:rPr>
            </w:pPr>
            <w:r w:rsidRPr="002074E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486D4FF8" w14:textId="77777777" w:rsidR="00E364F6" w:rsidRPr="002074E9" w:rsidRDefault="00E364F6" w:rsidP="004626C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</w:tr>
      <w:tr w:rsidR="00E364F6" w:rsidRPr="002074E9" w14:paraId="10F417A4" w14:textId="77777777" w:rsidTr="004626C4">
        <w:trPr>
          <w:trHeight w:val="192"/>
        </w:trPr>
        <w:tc>
          <w:tcPr>
            <w:tcW w:w="609" w:type="dxa"/>
          </w:tcPr>
          <w:p w14:paraId="68FCB720" w14:textId="77777777" w:rsidR="00E364F6" w:rsidRPr="002074E9" w:rsidRDefault="00E364F6" w:rsidP="004626C4">
            <w:pPr>
              <w:ind w:right="-391"/>
              <w:rPr>
                <w:rFonts w:ascii="Arial" w:hAnsi="Arial" w:cs="Arial"/>
                <w:sz w:val="20"/>
                <w:szCs w:val="20"/>
              </w:rPr>
            </w:pPr>
            <w:r w:rsidRPr="002074E9">
              <w:rPr>
                <w:rFonts w:ascii="Arial" w:hAnsi="Arial" w:cs="Arial"/>
                <w:sz w:val="20"/>
                <w:szCs w:val="20"/>
              </w:rPr>
              <w:t>на №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A3EA9" w14:textId="77777777" w:rsidR="00E364F6" w:rsidRPr="002074E9" w:rsidRDefault="00E364F6" w:rsidP="004626C4">
            <w:pPr>
              <w:ind w:right="-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E12B2C9" w14:textId="77777777" w:rsidR="00E364F6" w:rsidRPr="002074E9" w:rsidRDefault="00E364F6" w:rsidP="004626C4">
            <w:pPr>
              <w:ind w:right="-391"/>
              <w:rPr>
                <w:rFonts w:ascii="Arial" w:hAnsi="Arial" w:cs="Arial"/>
                <w:sz w:val="20"/>
                <w:szCs w:val="20"/>
              </w:rPr>
            </w:pPr>
            <w:r w:rsidRPr="002074E9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E61973E" w14:textId="77777777" w:rsidR="00E364F6" w:rsidRPr="002074E9" w:rsidRDefault="00E364F6" w:rsidP="004626C4">
            <w:pPr>
              <w:ind w:right="-3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2074E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74E9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</w:tr>
    </w:tbl>
    <w:p w14:paraId="7F3BBA8D" w14:textId="77777777" w:rsidR="00E364F6" w:rsidRPr="002074E9" w:rsidRDefault="00E364F6" w:rsidP="00E364F6">
      <w:pPr>
        <w:pStyle w:val="1"/>
        <w:shd w:val="clear" w:color="auto" w:fill="FFFFFF"/>
        <w:spacing w:before="60" w:after="0"/>
        <w:jc w:val="right"/>
        <w:rPr>
          <w:b w:val="0"/>
          <w:sz w:val="22"/>
          <w:szCs w:val="22"/>
        </w:rPr>
      </w:pPr>
    </w:p>
    <w:p w14:paraId="3170BA78" w14:textId="77777777" w:rsidR="00E364F6" w:rsidRDefault="00E364F6" w:rsidP="00E3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highlight w:val="white"/>
        </w:rPr>
      </w:pPr>
      <w:r w:rsidRPr="001569DA">
        <w:rPr>
          <w:rFonts w:ascii="Arial" w:hAnsi="Arial" w:cs="Arial"/>
        </w:rPr>
        <w:t>Ректору ФГБОУ ВО "</w:t>
      </w:r>
      <w:r>
        <w:rPr>
          <w:rFonts w:ascii="Arial" w:hAnsi="Arial" w:cs="Arial"/>
          <w:highlight w:val="white"/>
        </w:rPr>
        <w:t>Санкт-</w:t>
      </w:r>
      <w:r w:rsidRPr="001569DA">
        <w:rPr>
          <w:rFonts w:ascii="Arial" w:hAnsi="Arial" w:cs="Arial"/>
          <w:highlight w:val="white"/>
        </w:rPr>
        <w:t xml:space="preserve">Петербургский государственный </w:t>
      </w:r>
    </w:p>
    <w:p w14:paraId="4CAE6230" w14:textId="77777777" w:rsidR="00E364F6" w:rsidRPr="001569DA" w:rsidRDefault="00E364F6" w:rsidP="00E364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569DA">
        <w:rPr>
          <w:rFonts w:ascii="Arial" w:hAnsi="Arial" w:cs="Arial"/>
          <w:highlight w:val="white"/>
        </w:rPr>
        <w:t>технологический институт (технический университет)</w:t>
      </w:r>
      <w:r w:rsidRPr="001569DA">
        <w:rPr>
          <w:rFonts w:ascii="Arial" w:hAnsi="Arial" w:cs="Arial"/>
        </w:rPr>
        <w:t>"</w:t>
      </w:r>
    </w:p>
    <w:p w14:paraId="58F9A80C" w14:textId="77777777" w:rsidR="00E364F6" w:rsidRPr="001569DA" w:rsidRDefault="00E364F6" w:rsidP="00E364F6">
      <w:pPr>
        <w:jc w:val="right"/>
        <w:rPr>
          <w:rFonts w:ascii="Arial" w:hAnsi="Arial" w:cs="Arial"/>
        </w:rPr>
      </w:pPr>
      <w:r w:rsidRPr="001569DA">
        <w:rPr>
          <w:rFonts w:ascii="Arial" w:hAnsi="Arial" w:cs="Arial"/>
        </w:rPr>
        <w:t xml:space="preserve">А.П. Шевчику </w:t>
      </w:r>
    </w:p>
    <w:p w14:paraId="7CB0C1AD" w14:textId="77777777" w:rsidR="00E364F6" w:rsidRDefault="00E364F6" w:rsidP="00E364F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Уважаемый Андрей Павлович!</w:t>
      </w:r>
    </w:p>
    <w:p w14:paraId="24030A94" w14:textId="77777777" w:rsidR="00E364F6" w:rsidRDefault="00E364F6" w:rsidP="00E364F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</w:p>
    <w:p w14:paraId="23B985A4" w14:textId="71C57A7B" w:rsidR="00E364F6" w:rsidRDefault="00E364F6" w:rsidP="00E364F6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t xml:space="preserve">Просим </w:t>
      </w:r>
      <w:r>
        <w:rPr>
          <w:rFonts w:ascii="Arial" w:hAnsi="Arial" w:cs="Arial"/>
          <w:color w:val="000000"/>
          <w:sz w:val="22"/>
          <w:szCs w:val="22"/>
        </w:rPr>
        <w:t xml:space="preserve">Вас </w:t>
      </w:r>
      <w:r w:rsidRPr="00A202C9">
        <w:rPr>
          <w:rFonts w:ascii="Arial" w:hAnsi="Arial" w:cs="Arial"/>
          <w:color w:val="000000"/>
          <w:sz w:val="22"/>
          <w:szCs w:val="22"/>
        </w:rPr>
        <w:t>в рамках оказания информационной поддержки проведения В</w:t>
      </w:r>
      <w:r>
        <w:rPr>
          <w:rFonts w:ascii="Arial" w:hAnsi="Arial" w:cs="Arial"/>
          <w:color w:val="000000"/>
          <w:sz w:val="22"/>
          <w:szCs w:val="22"/>
        </w:rPr>
        <w:t>сероссийской научно-практической конференции им. Ж. Алфёрова</w:t>
      </w:r>
      <w:r w:rsidRPr="00A202C9">
        <w:rPr>
          <w:rFonts w:ascii="Arial" w:hAnsi="Arial" w:cs="Arial"/>
          <w:color w:val="000000"/>
          <w:sz w:val="22"/>
          <w:szCs w:val="22"/>
        </w:rPr>
        <w:t xml:space="preserve"> проинформиров</w:t>
      </w:r>
      <w:r w:rsidR="002A2C9F">
        <w:rPr>
          <w:rFonts w:ascii="Arial" w:hAnsi="Arial" w:cs="Arial"/>
          <w:color w:val="000000"/>
          <w:sz w:val="22"/>
          <w:szCs w:val="22"/>
        </w:rPr>
        <w:t xml:space="preserve">ать студентов и преподавателей </w:t>
      </w:r>
      <w:bookmarkStart w:id="0" w:name="_GoBack"/>
      <w:bookmarkEnd w:id="0"/>
      <w:r w:rsidRPr="00A202C9">
        <w:rPr>
          <w:rFonts w:ascii="Arial" w:hAnsi="Arial" w:cs="Arial"/>
          <w:color w:val="000000"/>
          <w:sz w:val="22"/>
          <w:szCs w:val="22"/>
        </w:rPr>
        <w:t>о специализированном разделе Конференции, куратором которого является Национальная Газомоторная Ассоциация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F48AF0F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709B0E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t xml:space="preserve">Одним из принципов при организации </w:t>
      </w:r>
      <w:r>
        <w:rPr>
          <w:rFonts w:ascii="Arial" w:hAnsi="Arial" w:cs="Arial"/>
          <w:color w:val="000000"/>
          <w:sz w:val="22"/>
          <w:szCs w:val="22"/>
        </w:rPr>
        <w:t>Конференции</w:t>
      </w:r>
      <w:r w:rsidRPr="00A202C9">
        <w:rPr>
          <w:rFonts w:ascii="Arial" w:hAnsi="Arial" w:cs="Arial"/>
          <w:color w:val="000000"/>
          <w:sz w:val="22"/>
          <w:szCs w:val="22"/>
        </w:rPr>
        <w:t xml:space="preserve"> является стимулирование молодых талантливых людей в направлениях исследования самых перспективных для развития страны идей, концепций и технологий. </w:t>
      </w:r>
    </w:p>
    <w:p w14:paraId="74F9424C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t>Практическое применение результатов исследований является наиболее эффективным мотивирующим стимулом для авторов. Встречный интерес промышленных партнёров Конференции к поиску молодых кадров и новых интересных разработок помогает в этом.</w:t>
      </w:r>
    </w:p>
    <w:p w14:paraId="19715220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B685A7C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t xml:space="preserve">Один из партнёров Всероссийской Научно-практической конференции имени Жореса Алфёрова Национальная Газомоторная Ассоциация назвала темы исследований, в результатах которых рассматриваются наиболее перспективные направления в отрасли. </w:t>
      </w:r>
    </w:p>
    <w:p w14:paraId="5D641E1D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4E41AEB" w14:textId="32720DB1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202C9">
        <w:rPr>
          <w:rFonts w:ascii="Arial" w:hAnsi="Arial" w:cs="Arial"/>
          <w:b/>
          <w:color w:val="000000"/>
          <w:sz w:val="22"/>
          <w:szCs w:val="22"/>
        </w:rPr>
        <w:t>Лучшие работы по этим направлениям Национальная Газомоторная Ассоциация отметит специальными призами</w:t>
      </w:r>
      <w:r w:rsidR="00C71D8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71D81" w:rsidRPr="00C71D81">
        <w:rPr>
          <w:rFonts w:ascii="Arial" w:hAnsi="Arial" w:cs="Arial"/>
          <w:b/>
          <w:color w:val="000000"/>
          <w:sz w:val="22"/>
          <w:szCs w:val="22"/>
        </w:rPr>
        <w:t>в том числе предоставит возможность пройти стажировку в компаниях</w:t>
      </w:r>
      <w:r w:rsidR="00C71D81">
        <w:rPr>
          <w:rFonts w:ascii="Arial" w:hAnsi="Arial" w:cs="Arial"/>
          <w:b/>
          <w:color w:val="000000"/>
          <w:sz w:val="22"/>
          <w:szCs w:val="22"/>
        </w:rPr>
        <w:t>,</w:t>
      </w:r>
      <w:r w:rsidR="00C71D81" w:rsidRPr="00C71D81">
        <w:rPr>
          <w:rFonts w:ascii="Arial" w:hAnsi="Arial" w:cs="Arial"/>
          <w:b/>
          <w:color w:val="000000"/>
          <w:sz w:val="22"/>
          <w:szCs w:val="22"/>
        </w:rPr>
        <w:t xml:space="preserve"> входящих в </w:t>
      </w:r>
      <w:r w:rsidR="00C71D81" w:rsidRPr="00A202C9">
        <w:rPr>
          <w:rFonts w:ascii="Arial" w:hAnsi="Arial" w:cs="Arial"/>
          <w:b/>
          <w:color w:val="000000"/>
          <w:sz w:val="22"/>
          <w:szCs w:val="22"/>
        </w:rPr>
        <w:t>Национальн</w:t>
      </w:r>
      <w:r w:rsidR="00C71D81">
        <w:rPr>
          <w:rFonts w:ascii="Arial" w:hAnsi="Arial" w:cs="Arial"/>
          <w:b/>
          <w:color w:val="000000"/>
          <w:sz w:val="22"/>
          <w:szCs w:val="22"/>
        </w:rPr>
        <w:t>ую</w:t>
      </w:r>
      <w:r w:rsidR="00C71D81" w:rsidRPr="00A202C9">
        <w:rPr>
          <w:rFonts w:ascii="Arial" w:hAnsi="Arial" w:cs="Arial"/>
          <w:b/>
          <w:color w:val="000000"/>
          <w:sz w:val="22"/>
          <w:szCs w:val="22"/>
        </w:rPr>
        <w:t xml:space="preserve"> Газомоторн</w:t>
      </w:r>
      <w:r w:rsidR="00C71D81">
        <w:rPr>
          <w:rFonts w:ascii="Arial" w:hAnsi="Arial" w:cs="Arial"/>
          <w:b/>
          <w:color w:val="000000"/>
          <w:sz w:val="22"/>
          <w:szCs w:val="22"/>
        </w:rPr>
        <w:t>ую</w:t>
      </w:r>
      <w:r w:rsidR="00C71D81" w:rsidRPr="00A202C9">
        <w:rPr>
          <w:rFonts w:ascii="Arial" w:hAnsi="Arial" w:cs="Arial"/>
          <w:b/>
          <w:color w:val="000000"/>
          <w:sz w:val="22"/>
          <w:szCs w:val="22"/>
        </w:rPr>
        <w:t xml:space="preserve"> Ассоциаци</w:t>
      </w:r>
      <w:r w:rsidR="00C71D81">
        <w:rPr>
          <w:rFonts w:ascii="Arial" w:hAnsi="Arial" w:cs="Arial"/>
          <w:b/>
          <w:color w:val="000000"/>
          <w:sz w:val="22"/>
          <w:szCs w:val="22"/>
        </w:rPr>
        <w:t>ю</w:t>
      </w:r>
      <w:r w:rsidRPr="00A202C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DE9A827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7E4A088" w14:textId="41D9AD8B" w:rsid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t>Приглашаем к участию в конференции</w:t>
      </w:r>
      <w:r>
        <w:rPr>
          <w:rFonts w:ascii="Arial" w:hAnsi="Arial" w:cs="Arial"/>
          <w:color w:val="000000"/>
          <w:sz w:val="22"/>
          <w:szCs w:val="22"/>
        </w:rPr>
        <w:t>!</w:t>
      </w:r>
    </w:p>
    <w:p w14:paraId="56E37AF9" w14:textId="6FF17540" w:rsid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0C5ED3" w14:textId="77777777" w:rsidR="00E364F6" w:rsidRPr="00A202C9" w:rsidRDefault="00E364F6" w:rsidP="00E364F6">
      <w:pPr>
        <w:jc w:val="both"/>
        <w:rPr>
          <w:rFonts w:ascii="Arial" w:hAnsi="Arial" w:cs="Arial"/>
        </w:rPr>
      </w:pPr>
      <w:r w:rsidRPr="00A202C9">
        <w:rPr>
          <w:rFonts w:ascii="Arial" w:hAnsi="Arial" w:cs="Arial"/>
        </w:rPr>
        <w:t xml:space="preserve">Заявки на участие в конференции принимаются на сайте </w:t>
      </w:r>
      <w:hyperlink r:id="rId7" w:history="1">
        <w:r w:rsidRPr="00A202C9">
          <w:rPr>
            <w:rStyle w:val="a7"/>
            <w:rFonts w:ascii="Arial" w:hAnsi="Arial" w:cs="Arial"/>
            <w:lang w:val="en-US"/>
          </w:rPr>
          <w:t>www</w:t>
        </w:r>
        <w:r w:rsidRPr="00A202C9">
          <w:rPr>
            <w:rStyle w:val="a7"/>
            <w:rFonts w:ascii="Arial" w:hAnsi="Arial" w:cs="Arial"/>
          </w:rPr>
          <w:t>.</w:t>
        </w:r>
        <w:proofErr w:type="spellStart"/>
        <w:r w:rsidRPr="00A202C9">
          <w:rPr>
            <w:rStyle w:val="a7"/>
            <w:rFonts w:ascii="Arial" w:hAnsi="Arial" w:cs="Arial"/>
            <w:lang w:val="en-US"/>
          </w:rPr>
          <w:t>alferovconference</w:t>
        </w:r>
        <w:proofErr w:type="spellEnd"/>
        <w:r w:rsidRPr="00A202C9">
          <w:rPr>
            <w:rStyle w:val="a7"/>
            <w:rFonts w:ascii="Arial" w:hAnsi="Arial" w:cs="Arial"/>
          </w:rPr>
          <w:t>.</w:t>
        </w:r>
        <w:proofErr w:type="spellStart"/>
        <w:r w:rsidRPr="00A202C9">
          <w:rPr>
            <w:rStyle w:val="a7"/>
            <w:rFonts w:ascii="Arial" w:hAnsi="Arial" w:cs="Arial"/>
            <w:lang w:val="en-US"/>
          </w:rPr>
          <w:t>ru</w:t>
        </w:r>
        <w:proofErr w:type="spellEnd"/>
      </w:hyperlink>
      <w:r w:rsidRPr="00A202C9">
        <w:rPr>
          <w:rFonts w:ascii="Arial" w:hAnsi="Arial" w:cs="Arial"/>
        </w:rPr>
        <w:t xml:space="preserve"> до 10 сентября 2020 года.</w:t>
      </w:r>
    </w:p>
    <w:p w14:paraId="7B9E9605" w14:textId="77777777" w:rsidR="00E364F6" w:rsidRPr="002074E9" w:rsidRDefault="00E364F6" w:rsidP="00E364F6">
      <w:pPr>
        <w:ind w:left="142"/>
        <w:contextualSpacing/>
        <w:jc w:val="both"/>
        <w:rPr>
          <w:rFonts w:ascii="Arial" w:hAnsi="Arial" w:cs="Arial"/>
        </w:rPr>
      </w:pPr>
      <w:r w:rsidRPr="002074E9">
        <w:rPr>
          <w:rFonts w:ascii="Arial" w:hAnsi="Arial" w:cs="Arial"/>
        </w:rPr>
        <w:t>С уважением,</w:t>
      </w:r>
    </w:p>
    <w:p w14:paraId="0DEE4810" w14:textId="77777777" w:rsidR="00E364F6" w:rsidRPr="002074E9" w:rsidRDefault="00E364F6" w:rsidP="00E364F6">
      <w:pPr>
        <w:ind w:left="142"/>
        <w:contextualSpacing/>
        <w:jc w:val="both"/>
        <w:rPr>
          <w:rFonts w:ascii="Arial" w:hAnsi="Arial" w:cs="Arial"/>
        </w:rPr>
      </w:pPr>
      <w:r w:rsidRPr="002074E9">
        <w:rPr>
          <w:rFonts w:ascii="Arial" w:hAnsi="Arial" w:cs="Arial"/>
        </w:rPr>
        <w:t xml:space="preserve">Татьяна Шульженко                                       </w:t>
      </w:r>
    </w:p>
    <w:p w14:paraId="094F463D" w14:textId="77777777" w:rsidR="00E364F6" w:rsidRPr="002074E9" w:rsidRDefault="00E364F6" w:rsidP="00E364F6">
      <w:pPr>
        <w:ind w:left="142"/>
        <w:contextualSpacing/>
        <w:jc w:val="both"/>
        <w:rPr>
          <w:rFonts w:ascii="Arial" w:hAnsi="Arial" w:cs="Arial"/>
        </w:rPr>
      </w:pPr>
      <w:r w:rsidRPr="002074E9">
        <w:rPr>
          <w:rFonts w:ascii="Arial" w:hAnsi="Arial" w:cs="Arial"/>
        </w:rPr>
        <w:t xml:space="preserve">Председатель Организационного комитета    </w:t>
      </w:r>
    </w:p>
    <w:p w14:paraId="41463D05" w14:textId="77777777" w:rsidR="00E364F6" w:rsidRPr="00A202C9" w:rsidRDefault="00E364F6" w:rsidP="00E364F6">
      <w:pPr>
        <w:ind w:left="142"/>
        <w:jc w:val="both"/>
        <w:rPr>
          <w:rFonts w:ascii="Arial" w:hAnsi="Arial" w:cs="Arial"/>
        </w:rPr>
      </w:pPr>
      <w:r w:rsidRPr="002074E9">
        <w:rPr>
          <w:rFonts w:ascii="Arial" w:hAnsi="Arial" w:cs="Arial"/>
        </w:rPr>
        <w:t xml:space="preserve">           </w:t>
      </w:r>
    </w:p>
    <w:p w14:paraId="3E9FBEC2" w14:textId="77777777" w:rsidR="00E364F6" w:rsidRPr="001F0531" w:rsidRDefault="00E364F6" w:rsidP="00E364F6">
      <w:pPr>
        <w:pStyle w:val="aa"/>
        <w:spacing w:line="276" w:lineRule="auto"/>
        <w:contextualSpacing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65FF6E" wp14:editId="1104E878">
            <wp:extent cx="1089660" cy="7848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0" b="92149" l="9920" r="89966">
                                  <a14:foregroundMark x1="40251" y1="90090" x2="41391" y2="92149"/>
                                  <a14:foregroundMark x1="12668" y1="53734" x2="18586" y2="31532"/>
                                  <a14:foregroundMark x1="10490" y1="61905" x2="11024" y2="59901"/>
                                  <a14:foregroundMark x1="25086" y1="51609" x2="25998" y2="46976"/>
                                  <a14:foregroundMark x1="10946" y1="35521" x2="11960" y2="34503"/>
                                  <a14:foregroundMark x1="29401" y1="19648" x2="30673" y2="18919"/>
                                  <a14:foregroundMark x1="30556" y1="21239" x2="30445" y2="23423"/>
                                  <a14:foregroundMark x1="30673" y1="18919" x2="30631" y2="19741"/>
                                  <a14:foregroundMark x1="18814" y1="26641" x2="21209" y2="25225"/>
                                  <a14:foregroundMark x1="39111" y1="86744" x2="39681" y2="84041"/>
                                  <a14:backgroundMark x1="22919" y1="11969" x2="22919" y2="11969"/>
                                  <a14:backgroundMark x1="13455" y1="32819" x2="17988" y2="28555"/>
                                  <a14:backgroundMark x1="11859" y1="34749" x2="13113" y2="33848"/>
                                  <a14:backgroundMark x1="20596" y1="26646" x2="26568" y2="22394"/>
                                  <a14:backgroundMark x1="26568" y1="22394" x2="20889" y2="25967"/>
                                  <a14:backgroundMark x1="26910" y1="21364" x2="30331" y2="21622"/>
                                  <a14:backgroundMark x1="11745" y1="58301" x2="16420" y2="40798"/>
                                  <a14:backgroundMark x1="11403" y1="58687" x2="15393" y2="44015"/>
                                  <a14:backgroundMark x1="66591" y1="34749" x2="67617" y2="33205"/>
                                  <a14:backgroundMark x1="68073" y1="32561" x2="68073" y2="325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0D71" w14:textId="0456FE57" w:rsid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6812AB" w14:textId="6BA0F366" w:rsid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A6829F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EF5C5F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E4E2277" w14:textId="57361D57" w:rsidR="00E364F6" w:rsidRP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E364F6">
        <w:rPr>
          <w:rFonts w:ascii="Arial" w:hAnsi="Arial" w:cs="Arial"/>
          <w:b/>
          <w:color w:val="000000"/>
          <w:sz w:val="22"/>
          <w:szCs w:val="22"/>
        </w:rPr>
        <w:t xml:space="preserve">Приложение 1. </w:t>
      </w:r>
    </w:p>
    <w:p w14:paraId="5210847F" w14:textId="77777777" w:rsid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1B76F9E" w14:textId="46EDDD43" w:rsid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t>Темы для научн</w:t>
      </w:r>
      <w:r>
        <w:rPr>
          <w:rFonts w:ascii="Arial" w:hAnsi="Arial" w:cs="Arial"/>
          <w:color w:val="000000"/>
          <w:sz w:val="22"/>
          <w:szCs w:val="22"/>
        </w:rPr>
        <w:t>ых</w:t>
      </w:r>
      <w:r w:rsidRPr="00A202C9">
        <w:rPr>
          <w:rFonts w:ascii="Arial" w:hAnsi="Arial" w:cs="Arial"/>
          <w:color w:val="000000"/>
          <w:sz w:val="22"/>
          <w:szCs w:val="22"/>
        </w:rPr>
        <w:t xml:space="preserve"> исследовани</w:t>
      </w:r>
      <w:r>
        <w:rPr>
          <w:rFonts w:ascii="Arial" w:hAnsi="Arial" w:cs="Arial"/>
          <w:color w:val="000000"/>
          <w:sz w:val="22"/>
          <w:szCs w:val="22"/>
        </w:rPr>
        <w:t>й</w:t>
      </w:r>
      <w:r w:rsidRPr="00A202C9">
        <w:rPr>
          <w:rFonts w:ascii="Arial" w:hAnsi="Arial" w:cs="Arial"/>
          <w:color w:val="000000"/>
          <w:sz w:val="22"/>
          <w:szCs w:val="22"/>
        </w:rPr>
        <w:t xml:space="preserve"> (Куратор – Национальная газомоторная ассоциация)</w:t>
      </w:r>
    </w:p>
    <w:p w14:paraId="5541E8B3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br/>
      </w:r>
      <w:r w:rsidRPr="00A202C9">
        <w:rPr>
          <w:rFonts w:ascii="Arial" w:hAnsi="Arial" w:cs="Arial"/>
          <w:b/>
          <w:color w:val="000000"/>
          <w:sz w:val="22"/>
          <w:szCs w:val="22"/>
        </w:rPr>
        <w:t>1. Секция «Передовые технологии проектирования, производства и эксплуатации транспортных средств на газомоторном топливе»</w:t>
      </w:r>
    </w:p>
    <w:p w14:paraId="5C88EEDF" w14:textId="77777777" w:rsidR="00E364F6" w:rsidRP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br/>
      </w:r>
      <w:r w:rsidRPr="00E364F6">
        <w:rPr>
          <w:rFonts w:ascii="Arial" w:hAnsi="Arial" w:cs="Arial"/>
          <w:color w:val="000000"/>
          <w:sz w:val="22"/>
          <w:szCs w:val="22"/>
        </w:rPr>
        <w:t>1.1. Технологии эксплуатации транспортных средств на компримированном природном газе.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1.2. Технологии переоборудования бензиновых и дизельных автомобилей для использования природного газа в качестве топлива.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 xml:space="preserve">1.3. Технологии освидетельствования и мониторинга состояния </w:t>
      </w:r>
      <w:proofErr w:type="spellStart"/>
      <w:r w:rsidRPr="00E364F6">
        <w:rPr>
          <w:rFonts w:ascii="Arial" w:hAnsi="Arial" w:cs="Arial"/>
          <w:color w:val="000000"/>
          <w:sz w:val="22"/>
          <w:szCs w:val="22"/>
        </w:rPr>
        <w:t>газобалонного</w:t>
      </w:r>
      <w:proofErr w:type="spellEnd"/>
      <w:r w:rsidRPr="00E364F6">
        <w:rPr>
          <w:rFonts w:ascii="Arial" w:hAnsi="Arial" w:cs="Arial"/>
          <w:color w:val="000000"/>
          <w:sz w:val="22"/>
          <w:szCs w:val="22"/>
        </w:rPr>
        <w:t xml:space="preserve"> оборудования, используемого на транспорте.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1.4. Технологии проектирования и производства транспортных средств на сжиженном природном газе.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1.5. Технологии проектирования, производства и эксплуатации гибридных транспортных средств, использующих природный газ и электроэнергию в качестве топлива.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1.6. Технологии эксплуатации транспортных средств на сжиженном природном газе.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1.7. Проектирование помещений для хранения транспортных средств, работающих на природном газе.</w:t>
      </w:r>
      <w:r w:rsidRPr="00E364F6">
        <w:rPr>
          <w:rFonts w:ascii="Arial" w:hAnsi="Arial" w:cs="Arial"/>
          <w:color w:val="000000"/>
          <w:sz w:val="22"/>
          <w:szCs w:val="22"/>
        </w:rPr>
        <w:br/>
        <w:t xml:space="preserve">1.8. Использование </w:t>
      </w:r>
      <w:proofErr w:type="spellStart"/>
      <w:r w:rsidRPr="00E364F6">
        <w:rPr>
          <w:rFonts w:ascii="Arial" w:hAnsi="Arial" w:cs="Arial"/>
          <w:color w:val="000000"/>
          <w:sz w:val="22"/>
          <w:szCs w:val="22"/>
        </w:rPr>
        <w:t>метано</w:t>
      </w:r>
      <w:proofErr w:type="spellEnd"/>
      <w:r w:rsidRPr="00E364F6">
        <w:rPr>
          <w:rFonts w:ascii="Arial" w:hAnsi="Arial" w:cs="Arial"/>
          <w:color w:val="000000"/>
          <w:sz w:val="22"/>
          <w:szCs w:val="22"/>
        </w:rPr>
        <w:t>-водородной смеси в качестве топлива.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1.9. Особенность проектирования и создания водородных топливных систем.</w:t>
      </w:r>
      <w:r w:rsidRPr="00E364F6">
        <w:rPr>
          <w:rFonts w:ascii="Arial" w:hAnsi="Arial" w:cs="Arial"/>
          <w:color w:val="000000"/>
          <w:sz w:val="22"/>
          <w:szCs w:val="22"/>
        </w:rPr>
        <w:br/>
        <w:t>1.10. Технологии эксплуатации транспортных средств, использующих водород в качестве топлива.</w:t>
      </w:r>
    </w:p>
    <w:p w14:paraId="0C40C4AB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BC59DED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202C9">
        <w:rPr>
          <w:rFonts w:ascii="Arial" w:hAnsi="Arial" w:cs="Arial"/>
          <w:b/>
          <w:color w:val="000000"/>
          <w:sz w:val="22"/>
          <w:szCs w:val="22"/>
        </w:rPr>
        <w:t>2. Секция «Передовые технологии проектирования, строительства и эксплуатации газозаправочной инфраструктуры»</w:t>
      </w:r>
    </w:p>
    <w:p w14:paraId="574863B7" w14:textId="77777777" w:rsidR="00E364F6" w:rsidRP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b/>
          <w:color w:val="000000"/>
          <w:sz w:val="22"/>
          <w:szCs w:val="22"/>
        </w:rPr>
        <w:br/>
      </w:r>
      <w:r w:rsidRPr="00E364F6">
        <w:rPr>
          <w:rFonts w:ascii="Arial" w:hAnsi="Arial" w:cs="Arial"/>
          <w:color w:val="000000"/>
          <w:sz w:val="22"/>
          <w:szCs w:val="22"/>
        </w:rPr>
        <w:t>2.1. Технологии увеличения скорости заправки транспортных средств природным газом.</w:t>
      </w:r>
      <w:r w:rsidRPr="00E364F6">
        <w:rPr>
          <w:rFonts w:ascii="Arial" w:hAnsi="Arial" w:cs="Arial"/>
          <w:color w:val="000000"/>
          <w:sz w:val="22"/>
          <w:szCs w:val="22"/>
        </w:rPr>
        <w:br/>
        <w:t xml:space="preserve">2.2. Технологии проектирования, строительства и эксплуатации </w:t>
      </w:r>
      <w:proofErr w:type="spellStart"/>
      <w:r w:rsidRPr="00E364F6">
        <w:rPr>
          <w:rFonts w:ascii="Arial" w:hAnsi="Arial" w:cs="Arial"/>
          <w:color w:val="000000"/>
          <w:sz w:val="22"/>
          <w:szCs w:val="22"/>
        </w:rPr>
        <w:t>КриоАЗС</w:t>
      </w:r>
      <w:proofErr w:type="spellEnd"/>
      <w:r w:rsidRPr="00E364F6">
        <w:rPr>
          <w:rFonts w:ascii="Arial" w:hAnsi="Arial" w:cs="Arial"/>
          <w:color w:val="000000"/>
          <w:sz w:val="22"/>
          <w:szCs w:val="22"/>
        </w:rPr>
        <w:t>.</w:t>
      </w:r>
      <w:r w:rsidRPr="00E364F6">
        <w:rPr>
          <w:rFonts w:ascii="Arial" w:hAnsi="Arial" w:cs="Arial"/>
          <w:color w:val="000000"/>
          <w:sz w:val="22"/>
          <w:szCs w:val="22"/>
        </w:rPr>
        <w:br/>
        <w:t>2.3. Технологии проектирования, строительства и эксплуатации многотопливных заправочных комплексов, включающих заправку транспорта сжиженным природным газом.</w:t>
      </w:r>
      <w:r w:rsidRPr="00E364F6">
        <w:rPr>
          <w:rFonts w:ascii="Arial" w:hAnsi="Arial" w:cs="Arial"/>
          <w:color w:val="000000"/>
          <w:sz w:val="22"/>
          <w:szCs w:val="22"/>
        </w:rPr>
        <w:br/>
        <w:t>2.4. Технологии проектирования, строительства и эксплуатации водородных заправочных станций.</w:t>
      </w:r>
      <w:r w:rsidRPr="00E364F6">
        <w:rPr>
          <w:rFonts w:ascii="Arial" w:hAnsi="Arial" w:cs="Arial"/>
          <w:color w:val="000000"/>
          <w:sz w:val="22"/>
          <w:szCs w:val="22"/>
        </w:rPr>
        <w:br/>
        <w:t xml:space="preserve">2.5. Особенности проектирования средств противопожарной защиты для АГНКС, </w:t>
      </w:r>
      <w:proofErr w:type="spellStart"/>
      <w:r w:rsidRPr="00E364F6">
        <w:rPr>
          <w:rFonts w:ascii="Arial" w:hAnsi="Arial" w:cs="Arial"/>
          <w:color w:val="000000"/>
          <w:sz w:val="22"/>
          <w:szCs w:val="22"/>
        </w:rPr>
        <w:t>КриоАЗС</w:t>
      </w:r>
      <w:proofErr w:type="spellEnd"/>
      <w:r w:rsidRPr="00E364F6">
        <w:rPr>
          <w:rFonts w:ascii="Arial" w:hAnsi="Arial" w:cs="Arial"/>
          <w:color w:val="000000"/>
          <w:sz w:val="22"/>
          <w:szCs w:val="22"/>
        </w:rPr>
        <w:t>, водородных заправочных станций и многотопливных комплексов.</w:t>
      </w:r>
      <w:r w:rsidRPr="00E364F6">
        <w:rPr>
          <w:rFonts w:ascii="Arial" w:hAnsi="Arial" w:cs="Arial"/>
          <w:color w:val="000000"/>
          <w:sz w:val="22"/>
          <w:szCs w:val="22"/>
        </w:rPr>
        <w:br/>
        <w:t>2.6. Технологии транспортировки сжиженного природного газа.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2.7. Технологии транспортировки водорода.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2.8. Технологии проектирования пунктов хранения сжиженного природного газа.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2.9. Технологии проектирования пунктов хранения водорода.</w:t>
      </w:r>
    </w:p>
    <w:p w14:paraId="0F263C6C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8E8C603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202C9">
        <w:rPr>
          <w:rFonts w:ascii="Arial" w:hAnsi="Arial" w:cs="Arial"/>
          <w:b/>
          <w:color w:val="000000"/>
          <w:sz w:val="22"/>
          <w:szCs w:val="22"/>
        </w:rPr>
        <w:t>3. Секция «Снижение вредного воздействия на окружающую среду за счет применения альтернативных видов топлива»</w:t>
      </w:r>
    </w:p>
    <w:p w14:paraId="25014592" w14:textId="77777777" w:rsidR="00E364F6" w:rsidRP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br/>
      </w:r>
      <w:r w:rsidRPr="00E364F6">
        <w:rPr>
          <w:rFonts w:ascii="Arial" w:hAnsi="Arial" w:cs="Arial"/>
          <w:color w:val="000000"/>
          <w:sz w:val="22"/>
          <w:szCs w:val="22"/>
        </w:rPr>
        <w:t>3.1. Оценка экологических эффектов от перевода на использование природного газа различных видов транспорта и техники: легковой транспорт, легкий коммерческий транспорт, автобусы, магистральный автомобильный транспорт, коммунальная и строительная техника, сельскохозяйственная техника, карьерная техника, железнодорожный транспорт, речной и морской транспорт, авиатранспорт, космическая техника.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3.2. Экологические эффекты от использования альтернативных видов топлива, оказывающие непосредственное влияние на здоровье человека.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3.3. Влияние вредных выбросов в транспортном секторе на качество городской среды.</w:t>
      </w:r>
      <w:r w:rsidRPr="00E364F6">
        <w:rPr>
          <w:rFonts w:ascii="Arial" w:hAnsi="Arial" w:cs="Arial"/>
          <w:color w:val="000000"/>
          <w:sz w:val="22"/>
          <w:szCs w:val="22"/>
        </w:rPr>
        <w:br/>
        <w:t xml:space="preserve">3.4. Комплексная оценка совокупных экологических эффектов от потенциального </w:t>
      </w:r>
      <w:r w:rsidRPr="00E364F6">
        <w:rPr>
          <w:rFonts w:ascii="Arial" w:hAnsi="Arial" w:cs="Arial"/>
          <w:color w:val="000000"/>
          <w:sz w:val="22"/>
          <w:szCs w:val="22"/>
        </w:rPr>
        <w:lastRenderedPageBreak/>
        <w:t>массового внедрения электротранспорта для всего жизненного цикла используемых энергоресурсов, с учетом структуры энергетического баланса и эффектов от утилизации отработанных аккумуляторов.</w:t>
      </w:r>
      <w:r w:rsidRPr="00E364F6">
        <w:rPr>
          <w:rFonts w:ascii="Arial" w:hAnsi="Arial" w:cs="Arial"/>
          <w:color w:val="000000"/>
          <w:sz w:val="22"/>
          <w:szCs w:val="22"/>
        </w:rPr>
        <w:br/>
        <w:t>3.5. Приоритетные направления трансформации транспортного сектора с учетом сложившейся экологической обстановки: структурный и территориальный аспект.</w:t>
      </w:r>
    </w:p>
    <w:p w14:paraId="3CD6BBC5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EE4438" w14:textId="77777777" w:rsidR="00E364F6" w:rsidRPr="00A202C9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202C9">
        <w:rPr>
          <w:rFonts w:ascii="Arial" w:hAnsi="Arial" w:cs="Arial"/>
          <w:b/>
          <w:color w:val="000000"/>
          <w:sz w:val="22"/>
          <w:szCs w:val="22"/>
        </w:rPr>
        <w:t>4. Секция «Экономические аспекты использования транспортных средств на газомоторном топливе в условиях современного мегаполиса»</w:t>
      </w:r>
    </w:p>
    <w:p w14:paraId="13BBCF0B" w14:textId="77777777" w:rsidR="00E364F6" w:rsidRPr="00E364F6" w:rsidRDefault="00E364F6" w:rsidP="00E364F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202C9">
        <w:rPr>
          <w:rFonts w:ascii="Arial" w:hAnsi="Arial" w:cs="Arial"/>
          <w:color w:val="000000"/>
          <w:sz w:val="22"/>
          <w:szCs w:val="22"/>
        </w:rPr>
        <w:br/>
      </w:r>
      <w:r w:rsidRPr="00E364F6">
        <w:rPr>
          <w:rFonts w:ascii="Arial" w:hAnsi="Arial" w:cs="Arial"/>
          <w:color w:val="000000"/>
          <w:sz w:val="22"/>
          <w:szCs w:val="22"/>
        </w:rPr>
        <w:t>4.1. Оценка экономических эффектов от перевода на использование природного газа различных видов транспорта и техники: легковой транспорт, легкий коммерческий транспорт, автобусы, магистральный автомобильный транспорт, коммунальная и строительная техника, сельскохозяйственная техника, карьерная техника, железнодорожный транспорт, речной и морской транспорт, авиатранспорт, космическая техника.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4.2. Оценка минимально необходимого уровня развития газозаправочной инфраструктуры на примере конкретных городов / субъектов Федерации.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4.3. Оценка экономической эффективности создания многотопливных заправочных комплексов, включающих заправку транспорта сжиженным природным газом.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4.4. Перспективные меры государственной поддержки развития рынка газомоторного топлива.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4.5. Оценка справедливой цены водорода как топлива для транспорта.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4.6. Особенности ценообразования компримированного и сжиженного природного газа для транспорта в сравнении с нефтяными видами топлива и сжиженным углеводородным газом.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4.7. Оценка потенциальной емкости рынка газомоторного топлива в Российской Федерации (или на примере одного субъекта Федерации).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4.8. Оценка социально-экономических эффектов от развития рынка газомоторного топлива.</w:t>
      </w:r>
      <w:r w:rsidRPr="00E364F6">
        <w:rPr>
          <w:rFonts w:ascii="Arial" w:hAnsi="Arial" w:cs="Arial"/>
          <w:color w:val="000000"/>
          <w:sz w:val="22"/>
          <w:szCs w:val="22"/>
        </w:rPr>
        <w:br/>
        <w:t>4.9. Потенциал повышения конкурентоспособности российской продукции за счет снижения транспортных расходов посредством использования природного газа в качестве моторного топлива.</w:t>
      </w:r>
    </w:p>
    <w:p w14:paraId="2702A367" w14:textId="77777777" w:rsidR="00E364F6" w:rsidRPr="00A202C9" w:rsidRDefault="00E364F6" w:rsidP="00E364F6">
      <w:pPr>
        <w:jc w:val="both"/>
        <w:rPr>
          <w:rFonts w:ascii="Arial" w:hAnsi="Arial" w:cs="Arial"/>
        </w:rPr>
      </w:pPr>
    </w:p>
    <w:p w14:paraId="1B0226B2" w14:textId="77777777" w:rsidR="00E364F6" w:rsidRPr="00C107B8" w:rsidRDefault="00E364F6" w:rsidP="00E364F6">
      <w:pPr>
        <w:pStyle w:val="aa"/>
        <w:spacing w:line="276" w:lineRule="auto"/>
        <w:jc w:val="both"/>
        <w:rPr>
          <w:rFonts w:ascii="Arial" w:hAnsi="Arial" w:cs="Arial"/>
          <w:color w:val="0D0D0D"/>
          <w:kern w:val="24"/>
          <w:sz w:val="16"/>
          <w:szCs w:val="16"/>
        </w:rPr>
      </w:pPr>
    </w:p>
    <w:p w14:paraId="3C9332DC" w14:textId="77777777" w:rsidR="00E364F6" w:rsidRPr="009A7825" w:rsidRDefault="00E364F6" w:rsidP="00E364F6">
      <w:pPr>
        <w:ind w:left="142"/>
        <w:jc w:val="both"/>
      </w:pPr>
    </w:p>
    <w:p w14:paraId="44BBD37A" w14:textId="3A0D91BC" w:rsidR="0023462E" w:rsidRPr="00C107B8" w:rsidRDefault="000A3E8A" w:rsidP="000A3E8A">
      <w:pPr>
        <w:pStyle w:val="aa"/>
        <w:spacing w:line="276" w:lineRule="auto"/>
        <w:jc w:val="both"/>
        <w:rPr>
          <w:rFonts w:ascii="Arial" w:hAnsi="Arial" w:cs="Arial"/>
          <w:color w:val="0D0D0D"/>
          <w:kern w:val="24"/>
          <w:sz w:val="16"/>
          <w:szCs w:val="16"/>
        </w:rPr>
      </w:pPr>
      <w:r w:rsidRPr="002074E9">
        <w:rPr>
          <w:rFonts w:ascii="Arial" w:hAnsi="Arial" w:cs="Arial"/>
        </w:rPr>
        <w:t xml:space="preserve"> </w:t>
      </w:r>
    </w:p>
    <w:sectPr w:rsidR="0023462E" w:rsidRPr="00C107B8" w:rsidSect="00FA74C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0" w:bottom="1418" w:left="1701" w:header="426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DC80A" w14:textId="77777777" w:rsidR="00203C08" w:rsidRDefault="00203C08" w:rsidP="00722581">
      <w:pPr>
        <w:spacing w:after="0" w:line="240" w:lineRule="auto"/>
      </w:pPr>
      <w:r>
        <w:separator/>
      </w:r>
    </w:p>
  </w:endnote>
  <w:endnote w:type="continuationSeparator" w:id="0">
    <w:p w14:paraId="7FCAEB02" w14:textId="77777777" w:rsidR="00203C08" w:rsidRDefault="00203C08" w:rsidP="0072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361A" w14:textId="77777777" w:rsidR="00636F2C" w:rsidRDefault="00636F2C">
    <w:pPr>
      <w:pStyle w:val="a5"/>
      <w:rPr>
        <w:caps/>
        <w:color w:val="02498E"/>
        <w:sz w:val="24"/>
        <w:szCs w:val="24"/>
      </w:rPr>
    </w:pPr>
    <w:r w:rsidRPr="00636F2C">
      <w:rPr>
        <w:caps/>
        <w:noProof/>
        <w:color w:val="02498E"/>
        <w:sz w:val="24"/>
        <w:szCs w:val="24"/>
        <w:lang w:eastAsia="ru-RU"/>
      </w:rPr>
      <w:drawing>
        <wp:inline distT="0" distB="0" distL="0" distR="0" wp14:anchorId="428F53D5" wp14:editId="0F8FF0DE">
          <wp:extent cx="5940425" cy="46384"/>
          <wp:effectExtent l="0" t="0" r="3175" b="0"/>
          <wp:docPr id="68" name="Рисунок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9611B" w14:textId="77777777" w:rsidR="00722581" w:rsidRPr="0023462E" w:rsidRDefault="00FA74C2" w:rsidP="00FA74C2">
    <w:pPr>
      <w:pStyle w:val="a5"/>
      <w:jc w:val="both"/>
      <w:rPr>
        <w:color w:val="02498E"/>
      </w:rPr>
    </w:pPr>
    <w:r w:rsidRPr="00FA74C2">
      <w:rPr>
        <w:rFonts w:ascii="Open Sans" w:hAnsi="Open Sans" w:cs="Open Sans"/>
        <w:caps/>
        <w:color w:val="02498E"/>
      </w:rPr>
      <w:t>ВСЕРОССИЙСКАЯ НАУЧНО-ПРАКТИЧЕСКАЯ КОНФЕРЕНЦИЯ им. ЖОРЕСА АЛФЕРОВА</w:t>
    </w:r>
    <w:r w:rsidRPr="00FA74C2">
      <w:rPr>
        <w:rFonts w:ascii="Open Sans" w:hAnsi="Open Sans" w:cs="Open Sans"/>
        <w:caps/>
        <w:color w:val="02498E"/>
        <w:sz w:val="24"/>
        <w:szCs w:val="24"/>
      </w:rPr>
      <w:br/>
    </w:r>
    <w:r w:rsidRPr="00FA74C2">
      <w:rPr>
        <w:rFonts w:ascii="Open Sans" w:hAnsi="Open Sans" w:cs="Open Sans"/>
        <w:caps/>
        <w:color w:val="02498E"/>
        <w:sz w:val="18"/>
        <w:szCs w:val="18"/>
      </w:rPr>
      <w:t xml:space="preserve">192029, Санкт-Петербург, пр. Обуховской обороны, д., 86, литера М, офис 503. тел.: </w:t>
    </w:r>
    <w:r w:rsidR="00E27BAE" w:rsidRPr="00E27BAE">
      <w:rPr>
        <w:rStyle w:val="js-phone-number"/>
        <w:color w:val="02498F"/>
      </w:rPr>
      <w:t>8 812 6767615</w:t>
    </w:r>
    <w:r w:rsidRPr="00FA74C2">
      <w:rPr>
        <w:rFonts w:ascii="Open Sans" w:hAnsi="Open Sans" w:cs="Open Sans"/>
        <w:caps/>
        <w:color w:val="02498E"/>
        <w:sz w:val="18"/>
        <w:szCs w:val="18"/>
      </w:rPr>
      <w:br/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e</w:t>
    </w:r>
    <w:r w:rsidRPr="00FA74C2">
      <w:rPr>
        <w:rFonts w:ascii="Open Sans" w:hAnsi="Open Sans" w:cs="Open Sans"/>
        <w:color w:val="02498E"/>
        <w:sz w:val="18"/>
        <w:szCs w:val="18"/>
      </w:rPr>
      <w:t>-</w:t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mail</w:t>
    </w:r>
    <w:r w:rsidRPr="00FA74C2">
      <w:rPr>
        <w:rFonts w:ascii="Open Sans" w:hAnsi="Open Sans" w:cs="Open Sans"/>
        <w:color w:val="02498E"/>
        <w:sz w:val="18"/>
        <w:szCs w:val="18"/>
      </w:rPr>
      <w:t xml:space="preserve">: </w:t>
    </w:r>
    <w:r w:rsidR="008056DA">
      <w:rPr>
        <w:rFonts w:ascii="Open Sans" w:hAnsi="Open Sans" w:cs="Open Sans"/>
        <w:color w:val="02498E"/>
        <w:sz w:val="18"/>
        <w:szCs w:val="18"/>
        <w:lang w:val="en-US"/>
      </w:rPr>
      <w:t>info</w:t>
    </w:r>
    <w:r w:rsidRPr="00FA74C2">
      <w:rPr>
        <w:rFonts w:ascii="Open Sans" w:hAnsi="Open Sans" w:cs="Open Sans"/>
        <w:color w:val="02498E"/>
        <w:sz w:val="18"/>
        <w:szCs w:val="18"/>
      </w:rPr>
      <w:t>@alferovconference.ru    www.alferovconference.ru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BC40" w14:textId="77777777" w:rsidR="00636F2C" w:rsidRDefault="00636F2C">
    <w:pPr>
      <w:pStyle w:val="a5"/>
      <w:rPr>
        <w:caps/>
        <w:color w:val="02498E"/>
        <w:sz w:val="24"/>
        <w:szCs w:val="24"/>
      </w:rPr>
    </w:pPr>
    <w:r w:rsidRPr="00636F2C">
      <w:rPr>
        <w:caps/>
        <w:noProof/>
        <w:color w:val="02498E"/>
        <w:sz w:val="24"/>
        <w:szCs w:val="24"/>
        <w:lang w:eastAsia="ru-RU"/>
      </w:rPr>
      <w:drawing>
        <wp:inline distT="0" distB="0" distL="0" distR="0" wp14:anchorId="719D01B2" wp14:editId="2F57078C">
          <wp:extent cx="5940425" cy="46384"/>
          <wp:effectExtent l="0" t="0" r="3175" b="0"/>
          <wp:docPr id="70" name="Рисунок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DCE78" w14:textId="1DB0FD11" w:rsidR="00B91876" w:rsidRPr="00FA74C2" w:rsidRDefault="00B91876" w:rsidP="00FA74C2">
    <w:pPr>
      <w:pStyle w:val="a5"/>
      <w:jc w:val="both"/>
      <w:rPr>
        <w:rFonts w:ascii="Open Sans" w:hAnsi="Open Sans" w:cs="Open Sans"/>
        <w:color w:val="02498E"/>
      </w:rPr>
    </w:pPr>
    <w:r w:rsidRPr="00FA74C2">
      <w:rPr>
        <w:rFonts w:ascii="Open Sans" w:hAnsi="Open Sans" w:cs="Open Sans"/>
        <w:caps/>
        <w:color w:val="02498E"/>
      </w:rPr>
      <w:t>ВСЕРОССИЙСКАЯ НАУЧНО-ПРАКТИЧЕСКАЯ КОНФЕРЕНЦИЯ им. ЖОРЕСА АЛФ</w:t>
    </w:r>
    <w:r w:rsidR="003C0B91">
      <w:rPr>
        <w:rFonts w:ascii="Open Sans" w:hAnsi="Open Sans" w:cs="Open Sans"/>
        <w:caps/>
        <w:color w:val="02498E"/>
      </w:rPr>
      <w:t>Ё</w:t>
    </w:r>
    <w:r w:rsidRPr="00FA74C2">
      <w:rPr>
        <w:rFonts w:ascii="Open Sans" w:hAnsi="Open Sans" w:cs="Open Sans"/>
        <w:caps/>
        <w:color w:val="02498E"/>
      </w:rPr>
      <w:t>РОВА</w:t>
    </w:r>
    <w:r w:rsidRPr="00FA74C2">
      <w:rPr>
        <w:rFonts w:ascii="Open Sans" w:hAnsi="Open Sans" w:cs="Open Sans"/>
        <w:caps/>
        <w:color w:val="02498E"/>
        <w:sz w:val="24"/>
        <w:szCs w:val="24"/>
      </w:rPr>
      <w:br/>
    </w:r>
    <w:r w:rsidRPr="00FA74C2">
      <w:rPr>
        <w:rFonts w:ascii="Open Sans" w:hAnsi="Open Sans" w:cs="Open Sans"/>
        <w:caps/>
        <w:color w:val="02498E"/>
        <w:sz w:val="18"/>
        <w:szCs w:val="18"/>
      </w:rPr>
      <w:t xml:space="preserve">192029, Санкт-Петербург, пр. Обуховской обороны, д., 86, офис 503. тел.: </w:t>
    </w:r>
    <w:r w:rsidR="00E27BAE" w:rsidRPr="00E27BAE">
      <w:rPr>
        <w:rStyle w:val="js-phone-number"/>
        <w:color w:val="02498F"/>
      </w:rPr>
      <w:t>8 812 6767615</w:t>
    </w:r>
    <w:r w:rsidRPr="00FA74C2">
      <w:rPr>
        <w:rFonts w:ascii="Open Sans" w:hAnsi="Open Sans" w:cs="Open Sans"/>
        <w:caps/>
        <w:color w:val="02498E"/>
        <w:sz w:val="18"/>
        <w:szCs w:val="18"/>
      </w:rPr>
      <w:br/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e</w:t>
    </w:r>
    <w:r w:rsidRPr="00FA74C2">
      <w:rPr>
        <w:rFonts w:ascii="Open Sans" w:hAnsi="Open Sans" w:cs="Open Sans"/>
        <w:color w:val="02498E"/>
        <w:sz w:val="18"/>
        <w:szCs w:val="18"/>
      </w:rPr>
      <w:t>-</w:t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mail</w:t>
    </w:r>
    <w:r w:rsidRPr="00FA74C2">
      <w:rPr>
        <w:rFonts w:ascii="Open Sans" w:hAnsi="Open Sans" w:cs="Open Sans"/>
        <w:color w:val="02498E"/>
        <w:sz w:val="18"/>
        <w:szCs w:val="18"/>
      </w:rPr>
      <w:t xml:space="preserve">: </w:t>
    </w:r>
    <w:r w:rsidR="008056DA">
      <w:rPr>
        <w:rFonts w:ascii="Open Sans" w:hAnsi="Open Sans" w:cs="Open Sans"/>
        <w:color w:val="02498E"/>
        <w:sz w:val="18"/>
        <w:szCs w:val="18"/>
        <w:lang w:val="en-US"/>
      </w:rPr>
      <w:t>info</w:t>
    </w:r>
    <w:r w:rsidRPr="00FA74C2">
      <w:rPr>
        <w:rFonts w:ascii="Open Sans" w:hAnsi="Open Sans" w:cs="Open Sans"/>
        <w:color w:val="02498E"/>
        <w:sz w:val="18"/>
        <w:szCs w:val="18"/>
      </w:rPr>
      <w:t>@alferovconference.ru    www.alferovconference.ru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02123" w14:textId="77777777" w:rsidR="00203C08" w:rsidRDefault="00203C08" w:rsidP="00722581">
      <w:pPr>
        <w:spacing w:after="0" w:line="240" w:lineRule="auto"/>
      </w:pPr>
      <w:r>
        <w:separator/>
      </w:r>
    </w:p>
  </w:footnote>
  <w:footnote w:type="continuationSeparator" w:id="0">
    <w:p w14:paraId="29DD9B39" w14:textId="77777777" w:rsidR="00203C08" w:rsidRDefault="00203C08" w:rsidP="0072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0"/>
      <w:gridCol w:w="3170"/>
      <w:gridCol w:w="3168"/>
    </w:tblGrid>
    <w:tr w:rsidR="00FA74C2" w14:paraId="460E4BDD" w14:textId="77777777" w:rsidTr="006851C8">
      <w:trPr>
        <w:trHeight w:val="296"/>
      </w:trPr>
      <w:tc>
        <w:tcPr>
          <w:tcW w:w="1667" w:type="pct"/>
        </w:tcPr>
        <w:p w14:paraId="1A641179" w14:textId="77777777" w:rsidR="00FA74C2" w:rsidRDefault="00FA74C2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0BFF17CA" w14:textId="77777777" w:rsidR="00FA74C2" w:rsidRDefault="00FA74C2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4406923" w14:textId="06D81548" w:rsidR="00FA74C2" w:rsidRDefault="00556004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 w:rsidRPr="00FA74C2">
            <w:rPr>
              <w:color w:val="02498E"/>
              <w:sz w:val="24"/>
              <w:szCs w:val="24"/>
            </w:rPr>
            <w:fldChar w:fldCharType="begin"/>
          </w:r>
          <w:r w:rsidR="00FA74C2" w:rsidRPr="00FA74C2">
            <w:rPr>
              <w:color w:val="02498E"/>
              <w:sz w:val="24"/>
              <w:szCs w:val="24"/>
            </w:rPr>
            <w:instrText>PAGE   \* MERGEFORMAT</w:instrText>
          </w:r>
          <w:r w:rsidRPr="00FA74C2">
            <w:rPr>
              <w:color w:val="02498E"/>
              <w:sz w:val="24"/>
              <w:szCs w:val="24"/>
            </w:rPr>
            <w:fldChar w:fldCharType="separate"/>
          </w:r>
          <w:r w:rsidR="002A2C9F">
            <w:rPr>
              <w:noProof/>
              <w:color w:val="02498E"/>
              <w:sz w:val="24"/>
              <w:szCs w:val="24"/>
            </w:rPr>
            <w:t>3</w:t>
          </w:r>
          <w:r w:rsidRPr="00FA74C2">
            <w:rPr>
              <w:color w:val="02498E"/>
              <w:sz w:val="24"/>
              <w:szCs w:val="24"/>
            </w:rPr>
            <w:fldChar w:fldCharType="end"/>
          </w:r>
        </w:p>
      </w:tc>
    </w:tr>
  </w:tbl>
  <w:p w14:paraId="2D81498F" w14:textId="77777777" w:rsidR="00FA74C2" w:rsidRPr="00FA74C2" w:rsidRDefault="00FA74C2" w:rsidP="00FA7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C89E" w14:textId="77777777" w:rsidR="00981258" w:rsidRDefault="00981258" w:rsidP="00057855">
    <w:pPr>
      <w:pStyle w:val="a3"/>
      <w:rPr>
        <w:noProof/>
        <w:lang w:eastAsia="ru-RU"/>
      </w:rPr>
    </w:pPr>
  </w:p>
  <w:p w14:paraId="03CC105F" w14:textId="187991AB" w:rsidR="007A32D7" w:rsidRDefault="0085232D" w:rsidP="00057855">
    <w:pPr>
      <w:pStyle w:val="a3"/>
      <w:ind w:left="142" w:hanging="142"/>
    </w:pPr>
    <w:r>
      <w:rPr>
        <w:noProof/>
        <w:lang w:eastAsia="ru-RU"/>
      </w:rPr>
      <w:drawing>
        <wp:inline distT="0" distB="0" distL="0" distR="0" wp14:anchorId="0AD61C53" wp14:editId="2AFF9633">
          <wp:extent cx="6050280" cy="952006"/>
          <wp:effectExtent l="0" t="0" r="7620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4-18_логотип-и-фирменный-блок-растровый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056" cy="96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CBE1D" w14:textId="77777777" w:rsidR="003757EC" w:rsidRDefault="003757EC" w:rsidP="000D1B32">
    <w:pPr>
      <w:pStyle w:val="a3"/>
      <w:ind w:left="-851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E2BC6E"/>
    <w:lvl w:ilvl="0">
      <w:numFmt w:val="bullet"/>
      <w:lvlText w:val="*"/>
      <w:lvlJc w:val="left"/>
    </w:lvl>
  </w:abstractNum>
  <w:abstractNum w:abstractNumId="1" w15:restartNumberingAfterBreak="0">
    <w:nsid w:val="57DA1D91"/>
    <w:multiLevelType w:val="hybridMultilevel"/>
    <w:tmpl w:val="FC48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933"/>
    <w:multiLevelType w:val="hybridMultilevel"/>
    <w:tmpl w:val="5484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71"/>
    <w:rsid w:val="00034528"/>
    <w:rsid w:val="00057855"/>
    <w:rsid w:val="00067147"/>
    <w:rsid w:val="000A3E8A"/>
    <w:rsid w:val="000A508B"/>
    <w:rsid w:val="000B5F8B"/>
    <w:rsid w:val="000D1B32"/>
    <w:rsid w:val="000D225A"/>
    <w:rsid w:val="000E6D15"/>
    <w:rsid w:val="000F36B3"/>
    <w:rsid w:val="001056C6"/>
    <w:rsid w:val="0013112A"/>
    <w:rsid w:val="0016239E"/>
    <w:rsid w:val="00166FCC"/>
    <w:rsid w:val="001B1FA6"/>
    <w:rsid w:val="00202B81"/>
    <w:rsid w:val="00203C08"/>
    <w:rsid w:val="0023462E"/>
    <w:rsid w:val="0024247C"/>
    <w:rsid w:val="002815F6"/>
    <w:rsid w:val="00294D61"/>
    <w:rsid w:val="002A2C9F"/>
    <w:rsid w:val="002A5641"/>
    <w:rsid w:val="002B33EA"/>
    <w:rsid w:val="002C624E"/>
    <w:rsid w:val="00304071"/>
    <w:rsid w:val="0033635D"/>
    <w:rsid w:val="00361694"/>
    <w:rsid w:val="003757EC"/>
    <w:rsid w:val="003C0B91"/>
    <w:rsid w:val="004329EA"/>
    <w:rsid w:val="0044070A"/>
    <w:rsid w:val="00443103"/>
    <w:rsid w:val="00483E82"/>
    <w:rsid w:val="00491BFF"/>
    <w:rsid w:val="004C7BD4"/>
    <w:rsid w:val="004D1211"/>
    <w:rsid w:val="004E7F48"/>
    <w:rsid w:val="004F6CD3"/>
    <w:rsid w:val="00500E56"/>
    <w:rsid w:val="0050238C"/>
    <w:rsid w:val="00530322"/>
    <w:rsid w:val="00556004"/>
    <w:rsid w:val="00566174"/>
    <w:rsid w:val="00570FBA"/>
    <w:rsid w:val="005751BA"/>
    <w:rsid w:val="00575694"/>
    <w:rsid w:val="005D6D7C"/>
    <w:rsid w:val="005D6DBC"/>
    <w:rsid w:val="006227EE"/>
    <w:rsid w:val="00630F98"/>
    <w:rsid w:val="00636F2C"/>
    <w:rsid w:val="0065526D"/>
    <w:rsid w:val="00662964"/>
    <w:rsid w:val="006851C8"/>
    <w:rsid w:val="006C50F0"/>
    <w:rsid w:val="006C6EC3"/>
    <w:rsid w:val="007124C3"/>
    <w:rsid w:val="007164A8"/>
    <w:rsid w:val="00722581"/>
    <w:rsid w:val="00723B5B"/>
    <w:rsid w:val="007620BC"/>
    <w:rsid w:val="007844AF"/>
    <w:rsid w:val="00797FFD"/>
    <w:rsid w:val="007A32D7"/>
    <w:rsid w:val="007E2389"/>
    <w:rsid w:val="008056DA"/>
    <w:rsid w:val="008122E2"/>
    <w:rsid w:val="008455A7"/>
    <w:rsid w:val="0085232D"/>
    <w:rsid w:val="0085408B"/>
    <w:rsid w:val="008A7BD6"/>
    <w:rsid w:val="008C191F"/>
    <w:rsid w:val="008C5BD0"/>
    <w:rsid w:val="009360FE"/>
    <w:rsid w:val="00954FE2"/>
    <w:rsid w:val="00981258"/>
    <w:rsid w:val="009C163C"/>
    <w:rsid w:val="009E24D6"/>
    <w:rsid w:val="009F54BD"/>
    <w:rsid w:val="00A365C9"/>
    <w:rsid w:val="00A542C1"/>
    <w:rsid w:val="00A57B4F"/>
    <w:rsid w:val="00A7082B"/>
    <w:rsid w:val="00A73E3C"/>
    <w:rsid w:val="00A97AFE"/>
    <w:rsid w:val="00AA13FA"/>
    <w:rsid w:val="00AC7421"/>
    <w:rsid w:val="00B0480D"/>
    <w:rsid w:val="00B23031"/>
    <w:rsid w:val="00B35780"/>
    <w:rsid w:val="00B357D2"/>
    <w:rsid w:val="00B631B5"/>
    <w:rsid w:val="00B76F3C"/>
    <w:rsid w:val="00B91876"/>
    <w:rsid w:val="00BA3FBF"/>
    <w:rsid w:val="00BD3405"/>
    <w:rsid w:val="00C107B8"/>
    <w:rsid w:val="00C34E09"/>
    <w:rsid w:val="00C50AB9"/>
    <w:rsid w:val="00C51AE6"/>
    <w:rsid w:val="00C71D81"/>
    <w:rsid w:val="00CD0282"/>
    <w:rsid w:val="00CF4CF5"/>
    <w:rsid w:val="00D0239D"/>
    <w:rsid w:val="00D22CB9"/>
    <w:rsid w:val="00D93C8A"/>
    <w:rsid w:val="00DA2171"/>
    <w:rsid w:val="00DA2924"/>
    <w:rsid w:val="00DC27C2"/>
    <w:rsid w:val="00E26847"/>
    <w:rsid w:val="00E273FF"/>
    <w:rsid w:val="00E27BAE"/>
    <w:rsid w:val="00E31116"/>
    <w:rsid w:val="00E364F6"/>
    <w:rsid w:val="00E520E3"/>
    <w:rsid w:val="00E90BC9"/>
    <w:rsid w:val="00E9191B"/>
    <w:rsid w:val="00EB5295"/>
    <w:rsid w:val="00EE4FEA"/>
    <w:rsid w:val="00EF2A74"/>
    <w:rsid w:val="00F14609"/>
    <w:rsid w:val="00F14864"/>
    <w:rsid w:val="00F207B8"/>
    <w:rsid w:val="00F80380"/>
    <w:rsid w:val="00F81288"/>
    <w:rsid w:val="00F97379"/>
    <w:rsid w:val="00FA74C2"/>
    <w:rsid w:val="00FC33AE"/>
    <w:rsid w:val="00FC7B00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5F92"/>
  <w15:docId w15:val="{9A9BCDA5-04A4-456B-BB8A-6A37A80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F6"/>
  </w:style>
  <w:style w:type="paragraph" w:styleId="1">
    <w:name w:val="heading 1"/>
    <w:basedOn w:val="a"/>
    <w:next w:val="a"/>
    <w:link w:val="10"/>
    <w:qFormat/>
    <w:rsid w:val="00E364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581"/>
  </w:style>
  <w:style w:type="paragraph" w:styleId="a5">
    <w:name w:val="footer"/>
    <w:basedOn w:val="a"/>
    <w:link w:val="a6"/>
    <w:uiPriority w:val="99"/>
    <w:unhideWhenUsed/>
    <w:rsid w:val="0072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581"/>
  </w:style>
  <w:style w:type="character" w:styleId="a7">
    <w:name w:val="Hyperlink"/>
    <w:basedOn w:val="a0"/>
    <w:uiPriority w:val="99"/>
    <w:unhideWhenUsed/>
    <w:rsid w:val="007A32D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27BAE"/>
  </w:style>
  <w:style w:type="paragraph" w:styleId="a8">
    <w:name w:val="Balloon Text"/>
    <w:basedOn w:val="a"/>
    <w:link w:val="a9"/>
    <w:uiPriority w:val="99"/>
    <w:semiHidden/>
    <w:unhideWhenUsed/>
    <w:rsid w:val="0080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6D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3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57B4F"/>
    <w:pPr>
      <w:ind w:left="720"/>
      <w:contextualSpacing/>
    </w:pPr>
  </w:style>
  <w:style w:type="paragraph" w:customStyle="1" w:styleId="11">
    <w:name w:val="Подпись1"/>
    <w:basedOn w:val="a"/>
    <w:uiPriority w:val="99"/>
    <w:rsid w:val="0033635D"/>
    <w:pPr>
      <w:spacing w:before="640" w:after="0" w:line="240" w:lineRule="auto"/>
    </w:pPr>
    <w:rPr>
      <w:rFonts w:ascii="Times New Roman" w:eastAsia="Times New Roman" w:hAnsi="Times New Roman" w:cs="Times New Roman"/>
      <w:color w:val="FF00FF"/>
      <w:sz w:val="30"/>
      <w:szCs w:val="30"/>
      <w:lang w:eastAsia="ru-RU"/>
    </w:rPr>
  </w:style>
  <w:style w:type="character" w:styleId="ac">
    <w:name w:val="Strong"/>
    <w:basedOn w:val="a0"/>
    <w:uiPriority w:val="22"/>
    <w:qFormat/>
    <w:rsid w:val="008C191F"/>
    <w:rPr>
      <w:b/>
      <w:bCs/>
    </w:rPr>
  </w:style>
  <w:style w:type="character" w:customStyle="1" w:styleId="10">
    <w:name w:val="Заголовок 1 Знак"/>
    <w:basedOn w:val="a0"/>
    <w:link w:val="1"/>
    <w:rsid w:val="00E364F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lferovconference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Светлана Алексеева</cp:lastModifiedBy>
  <cp:revision>5</cp:revision>
  <cp:lastPrinted>2020-02-19T07:42:00Z</cp:lastPrinted>
  <dcterms:created xsi:type="dcterms:W3CDTF">2020-05-20T12:15:00Z</dcterms:created>
  <dcterms:modified xsi:type="dcterms:W3CDTF">2020-05-27T00:59:00Z</dcterms:modified>
</cp:coreProperties>
</file>