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13" w:rsidRDefault="00717613" w:rsidP="00717613">
      <w:pPr>
        <w:autoSpaceDE w:val="0"/>
        <w:autoSpaceDN w:val="0"/>
        <w:adjustRightInd w:val="0"/>
        <w:rPr>
          <w:b/>
        </w:rPr>
      </w:pPr>
      <w:proofErr w:type="spellStart"/>
      <w:r>
        <w:rPr>
          <w:rFonts w:ascii="TimesNewRoman,Bold" w:hAnsi="TimesNewRoman,Bold" w:cs="TimesNewRoman,Bold"/>
          <w:b/>
          <w:bCs/>
        </w:rPr>
        <w:t>М</w:t>
      </w:r>
      <w:r>
        <w:rPr>
          <w:b/>
          <w:bCs/>
        </w:rPr>
        <w:t>аркеев</w:t>
      </w:r>
      <w:proofErr w:type="spellEnd"/>
      <w:r>
        <w:rPr>
          <w:b/>
          <w:bCs/>
        </w:rPr>
        <w:t xml:space="preserve">, А.И. </w:t>
      </w:r>
      <w:r>
        <w:rPr>
          <w:b/>
        </w:rPr>
        <w:t xml:space="preserve">Защита интеллектуальной собственности и </w:t>
      </w:r>
      <w:proofErr w:type="spellStart"/>
      <w:r>
        <w:rPr>
          <w:b/>
        </w:rPr>
        <w:t>патентоведение</w:t>
      </w:r>
      <w:proofErr w:type="spellEnd"/>
      <w:r>
        <w:rPr>
          <w:b/>
        </w:rPr>
        <w:t>: учеб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особие / А.И. </w:t>
      </w:r>
      <w:proofErr w:type="spellStart"/>
      <w:r>
        <w:rPr>
          <w:b/>
        </w:rPr>
        <w:t>Маркеев</w:t>
      </w:r>
      <w:proofErr w:type="spellEnd"/>
      <w:r>
        <w:rPr>
          <w:b/>
        </w:rPr>
        <w:t xml:space="preserve">. – Новосибирск: СГГА, 2009. – 185 </w:t>
      </w:r>
      <w:proofErr w:type="spellStart"/>
      <w:r>
        <w:rPr>
          <w:b/>
        </w:rPr>
        <w:t>с.ISBN</w:t>
      </w:r>
      <w:proofErr w:type="spellEnd"/>
      <w:r>
        <w:rPr>
          <w:b/>
        </w:rPr>
        <w:t xml:space="preserve"> 978</w:t>
      </w:r>
    </w:p>
    <w:p w:rsidR="00717613" w:rsidRDefault="00717613" w:rsidP="00717613">
      <w:pPr>
        <w:autoSpaceDE w:val="0"/>
        <w:autoSpaceDN w:val="0"/>
        <w:adjustRightInd w:val="0"/>
      </w:pPr>
    </w:p>
    <w:p w:rsidR="00717613" w:rsidRDefault="00717613" w:rsidP="00717613">
      <w:pPr>
        <w:autoSpaceDE w:val="0"/>
        <w:autoSpaceDN w:val="0"/>
        <w:adjustRightInd w:val="0"/>
        <w:rPr>
          <w:b/>
        </w:rPr>
      </w:pPr>
      <w:r>
        <w:rPr>
          <w:b/>
        </w:rPr>
        <w:tab/>
        <w:t>Правовая охрана полезной модели</w:t>
      </w:r>
    </w:p>
    <w:p w:rsidR="00717613" w:rsidRDefault="00717613" w:rsidP="00717613">
      <w:pPr>
        <w:autoSpaceDE w:val="0"/>
        <w:autoSpaceDN w:val="0"/>
        <w:adjustRightInd w:val="0"/>
        <w:rPr>
          <w:b/>
        </w:rPr>
      </w:pPr>
    </w:p>
    <w:p w:rsidR="00717613" w:rsidRDefault="00717613" w:rsidP="00717613">
      <w:pPr>
        <w:autoSpaceDE w:val="0"/>
        <w:autoSpaceDN w:val="0"/>
        <w:adjustRightInd w:val="0"/>
      </w:pPr>
      <w:r>
        <w:rPr>
          <w:b/>
          <w:bCs/>
        </w:rPr>
        <w:tab/>
        <w:t xml:space="preserve">Понятие. </w:t>
      </w:r>
      <w:r>
        <w:t>Дать определение словосочетанию «полезная модель» также затруднительно, как и понятию «изобретение». Некоторые авторы определяют полезную модель как «малое изобретение». Всемирная организация интеллектуальной собственности (ВОИС) разъяснила: «В сущности, это просто название, применяемое к некоторым изобретениям, а именно (согласно законодательствам большинства стран, которые содержат положения о полезных моделях), к изобретениям в области механики».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Законодательство о полезных моделях впервые появилось в Германии в </w:t>
      </w:r>
      <w:smartTag w:uri="urn:schemas-microsoft-com:office:smarttags" w:element="metricconverter">
        <w:smartTagPr>
          <w:attr w:name="ProductID" w:val="1891 г"/>
        </w:smartTagPr>
        <w:r>
          <w:t>1891 г</w:t>
        </w:r>
      </w:smartTag>
      <w:r>
        <w:t xml:space="preserve">. В июне </w:t>
      </w:r>
      <w:smartTag w:uri="urn:schemas-microsoft-com:office:smarttags" w:element="metricconverter">
        <w:smartTagPr>
          <w:attr w:name="ProductID" w:val="1911 г"/>
        </w:smartTagPr>
        <w:r>
          <w:t>1911 г</w:t>
        </w:r>
      </w:smartTag>
      <w:r>
        <w:t xml:space="preserve">. в Вашингтоне Парижская конвенция по охране промышленной собственности </w:t>
      </w:r>
      <w:smartTag w:uri="urn:schemas-microsoft-com:office:smarttags" w:element="metricconverter">
        <w:smartTagPr>
          <w:attr w:name="ProductID" w:val="1883 г"/>
        </w:smartTagPr>
        <w:r>
          <w:t>1883 г</w:t>
        </w:r>
      </w:smartTag>
      <w:r>
        <w:t xml:space="preserve">. была дополнена положениями, вводящими полезную модель в разряд объектов охраны промышленной собственности. Однако не все страны ввели в своё законодательство такой объект охраны. К настоящему моменту правовая охрана полезным моделям предоставляется примерно в 40 странах. США и Великобритания не имеют в своём законодательстве института патентования полезной модели. 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В </w:t>
      </w:r>
      <w:smartTag w:uri="urn:schemas-microsoft-com:office:smarttags" w:element="metricconverter">
        <w:smartTagPr>
          <w:attr w:name="ProductID" w:val="1995 г"/>
        </w:smartTagPr>
        <w:r>
          <w:t xml:space="preserve">1995 </w:t>
        </w:r>
        <w:proofErr w:type="spellStart"/>
        <w:r>
          <w:t>г</w:t>
        </w:r>
      </w:smartTag>
      <w:proofErr w:type="gramStart"/>
      <w:r>
        <w:t>.К</w:t>
      </w:r>
      <w:proofErr w:type="gramEnd"/>
      <w:r>
        <w:t>омиссия</w:t>
      </w:r>
      <w:proofErr w:type="spellEnd"/>
      <w:r>
        <w:t xml:space="preserve"> ЕС опубликовала Зелёную книгу об охране полезных моделей, в которой указывалось, что наличие охраны этих объектов в одних странах ЕС и отсутствие в других может воспрепятствовать свободе конкуренции. В связи с этим предлагалось ввести на территории всех стран ЕС простую, недорогостоящую форму охраны несложных технических решений, которые отвечали бы интересам индивидуальных изобретателей, а также малых и средних предприятий.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На постсоветском пространстве такой объект, как полезная модель, также не был воспринят сразу и всеми странами. Например, Республика Беларусь предоставила правовую охрану полезным моделям в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. – с момента вступления в силу Гражданского кодекса Республики Беларусь. Видимо, это явилось одной из причин того, что при создании Евразийской патентной конвенции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 xml:space="preserve">., к которой присоединились девять бывших республик СССР, предоставление охраны полезной модели даже не обсуждалось. О трудной приживаемости данного объекта говорит и статистика. Так, в Республике Беларусь в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 xml:space="preserve">. поступило 210 заявок на полезную модель, в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– 315, в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. – 422. Зарегистрировано в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в Республике Беларусь в Государственном реестре 339 патентов на полезную модель.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>В литературе высказывалась точка зрения о том, что по своим признакам полезная модель занимает как бы промежуточное положение между изобретением и рационализаторским предложением, не имея чёткого правового статуса. Как и изобретение, полезную модель характеризуют определённые условия патентоспособности.</w:t>
      </w:r>
    </w:p>
    <w:p w:rsidR="00717613" w:rsidRDefault="00717613" w:rsidP="00717613">
      <w:pPr>
        <w:autoSpaceDE w:val="0"/>
        <w:autoSpaceDN w:val="0"/>
        <w:adjustRightInd w:val="0"/>
        <w:rPr>
          <w:i/>
          <w:iCs/>
        </w:rPr>
      </w:pPr>
      <w:r>
        <w:lastRenderedPageBreak/>
        <w:tab/>
        <w:t xml:space="preserve">В соответствии с п. 63 Положения </w:t>
      </w:r>
      <w:smartTag w:uri="urn:schemas-microsoft-com:office:smarttags" w:element="metricconverter">
        <w:smartTagPr>
          <w:attr w:name="ProductID" w:val="1973 г"/>
        </w:smartTagPr>
        <w:r>
          <w:t>1973 г</w:t>
        </w:r>
      </w:smartTag>
      <w:r>
        <w:t xml:space="preserve">., рационализаторским предложением признаётся </w:t>
      </w:r>
      <w:r>
        <w:rPr>
          <w:i/>
          <w:iCs/>
        </w:rPr>
        <w:t>техническое решение, являющееся новым и полезным для предприятия, организации или учреждения, которому оно подано, и предусматривающее изменение конструкции изделий, технологии производств и применяемой техники или изменение состава материала.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Полезность рацпредложения означала возможность получения положительного эффекта – экономического, технического или иного. Таким образом, по ряду признаков (условий) рацпредложение действительно имеет сходство и с полезной моделью, и с изобретением. Однако это самостоятельный объект, сконструированный в условиях определённой экономической и социально-политической ситуации в стране, в которой преобладала государственная собственность на средства производства. 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>В настоящее время государство отказалось от охраны таких объектов, как открытие и рацпредложение, но менеджмент любой организации имеет право разработать, утвердить и применять правила о рацпредложениях на предприятии. В современных условиях как никогда актуальны вопросы совершенствования технологий производства на многих предприятиях. Возродится ли рацпредложение на локальном уровне или канет в Лету, как техническое усовершенствование, существовавшее в законодательстве царской России и СССР с 1931 по 1959 гг., покажет время.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Понимание полезной модели как технического решения выражается в совокупности существенных признаков, достаточной для достижения обеспечиваемого полезной моделью технического результата. 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Признаки относятся </w:t>
      </w:r>
      <w:proofErr w:type="gramStart"/>
      <w:r>
        <w:t>к</w:t>
      </w:r>
      <w:proofErr w:type="gramEnd"/>
      <w:r>
        <w:t xml:space="preserve"> существенным, если они влияют на возможность получения технического результата, т. е. находятся с ним в причинно-следственной связи.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Технический результат представляет собой характеристику технического эффекта, явления, свойства и т. п., объективно </w:t>
      </w:r>
      <w:proofErr w:type="gramStart"/>
      <w:r>
        <w:t>проявляющихся</w:t>
      </w:r>
      <w:proofErr w:type="gramEnd"/>
      <w:r>
        <w:t xml:space="preserve"> при изготовлении либо использовании устройства. </w:t>
      </w:r>
      <w:r>
        <w:tab/>
        <w:t>Технический результат может выражаться, в частности, в снижении (повышении) коэффициента трения; в предотвращении заклинивания; снижении вибрации; в улучшении контакта рабочего органа со средой; в уменьшении искажения формы сигнала; в снижении просачивания жидкости; повышении быстродействия компьютера.</w:t>
      </w:r>
    </w:p>
    <w:p w:rsidR="00717613" w:rsidRDefault="00717613" w:rsidP="00717613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ab/>
        <w:t>Получаемый результат не считается имеющим технический характер, в частности, если он:</w:t>
      </w:r>
    </w:p>
    <w:p w:rsidR="00717613" w:rsidRDefault="00717613" w:rsidP="00717613">
      <w:pPr>
        <w:autoSpaceDE w:val="0"/>
        <w:autoSpaceDN w:val="0"/>
        <w:adjustRightInd w:val="0"/>
      </w:pPr>
      <w:r>
        <w:t>1) проявляется только вследствие особенностей восприятия человека с участием его разума;</w:t>
      </w:r>
    </w:p>
    <w:p w:rsidR="00717613" w:rsidRDefault="00717613" w:rsidP="00717613">
      <w:pPr>
        <w:autoSpaceDE w:val="0"/>
        <w:autoSpaceDN w:val="0"/>
        <w:adjustRightInd w:val="0"/>
      </w:pPr>
      <w:r>
        <w:t>2) достигается лишь благодаря соблюдению определённого порядка при осуществлении тех или иных видов деятельности на основе договорённости между её участниками или установленных правил;</w:t>
      </w:r>
    </w:p>
    <w:p w:rsidR="00717613" w:rsidRDefault="00717613" w:rsidP="00717613">
      <w:pPr>
        <w:autoSpaceDE w:val="0"/>
        <w:autoSpaceDN w:val="0"/>
        <w:adjustRightInd w:val="0"/>
      </w:pPr>
      <w:r>
        <w:t>3) заключается только в получении той или иной информации и достигается только благодаря применению математического метода, программы для электронной вычислительной машины или используемого в ней алгоритма;</w:t>
      </w:r>
    </w:p>
    <w:p w:rsidR="00717613" w:rsidRDefault="00717613" w:rsidP="00717613">
      <w:pPr>
        <w:autoSpaceDE w:val="0"/>
        <w:autoSpaceDN w:val="0"/>
        <w:adjustRightInd w:val="0"/>
      </w:pPr>
      <w:r>
        <w:lastRenderedPageBreak/>
        <w:t>4) обусловлен только особенностями смыслового содержания информации, представленной в той или иной форме на каком-либо носителе.</w:t>
      </w:r>
    </w:p>
    <w:p w:rsidR="00717613" w:rsidRDefault="00717613" w:rsidP="00717613">
      <w:pPr>
        <w:autoSpaceDE w:val="0"/>
        <w:autoSpaceDN w:val="0"/>
        <w:adjustRightInd w:val="0"/>
      </w:pPr>
    </w:p>
    <w:p w:rsidR="00717613" w:rsidRDefault="00717613" w:rsidP="00717613">
      <w:pPr>
        <w:autoSpaceDE w:val="0"/>
        <w:autoSpaceDN w:val="0"/>
        <w:adjustRightInd w:val="0"/>
      </w:pPr>
      <w:r>
        <w:rPr>
          <w:i/>
          <w:iCs/>
        </w:rPr>
        <w:tab/>
        <w:t>Новизна полезной модели мировая</w:t>
      </w:r>
      <w:r>
        <w:t>, но обстоятельством, препятствующим предоставлению правовой охраны, будут сведения о применении полезной модели в РФ. Это означает, что если в зарубежной литературе даже и раскрыта сущность данной полезной модели, но из российских источников не усматривается её применение в России, то данная полезная модель будет являться патентоспособной.</w:t>
      </w:r>
    </w:p>
    <w:p w:rsidR="00717613" w:rsidRDefault="00717613" w:rsidP="00717613">
      <w:pPr>
        <w:autoSpaceDE w:val="0"/>
        <w:autoSpaceDN w:val="0"/>
        <w:adjustRightInd w:val="0"/>
      </w:pPr>
      <w:r>
        <w:rPr>
          <w:i/>
          <w:iCs/>
        </w:rPr>
        <w:tab/>
        <w:t xml:space="preserve">Условие промышленной применимости </w:t>
      </w:r>
      <w:r>
        <w:t>идентично тому, которое мы рассматривали применительно к изобретению. Полезная модель является промышленно применимой, если она может быть использована в промышленности, сельском хозяйстве, здравоохранении и других отраслях деятельности.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Патентный закон РФ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в ст. 5 относил к полезной модели</w:t>
      </w:r>
    </w:p>
    <w:p w:rsidR="00717613" w:rsidRDefault="00717613" w:rsidP="00717613">
      <w:pPr>
        <w:autoSpaceDE w:val="0"/>
        <w:autoSpaceDN w:val="0"/>
        <w:adjustRightInd w:val="0"/>
      </w:pPr>
      <w:r>
        <w:rPr>
          <w:i/>
          <w:iCs/>
        </w:rPr>
        <w:t>конструктивное выполнение сре</w:t>
      </w:r>
      <w:proofErr w:type="gramStart"/>
      <w:r>
        <w:rPr>
          <w:i/>
          <w:iCs/>
        </w:rPr>
        <w:t>дств пр</w:t>
      </w:r>
      <w:proofErr w:type="gramEnd"/>
      <w:r>
        <w:rPr>
          <w:i/>
          <w:iCs/>
        </w:rPr>
        <w:t>оизводства и предметов потребления, а также их составных частей</w:t>
      </w:r>
      <w:r>
        <w:t>. Редакция ст. 5 Патентного закона РФ (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.) устанавливала, что в качестве полезной модели охраняется </w:t>
      </w:r>
      <w:r>
        <w:rPr>
          <w:i/>
          <w:iCs/>
        </w:rPr>
        <w:t>техническое решение, относящееся к устройству</w:t>
      </w:r>
      <w:r>
        <w:t xml:space="preserve">. </w:t>
      </w:r>
    </w:p>
    <w:p w:rsidR="00717613" w:rsidRDefault="00717613" w:rsidP="00717613">
      <w:pPr>
        <w:autoSpaceDE w:val="0"/>
        <w:autoSpaceDN w:val="0"/>
        <w:adjustRightInd w:val="0"/>
      </w:pPr>
      <w:r>
        <w:tab/>
        <w:t xml:space="preserve">Такое же положение закреплено и в ч. 1 ст. 1351 ГК РФ. Закон не даёт определения полезной модели, поскольку не выделяет все её существенные признаки, позволяющие отличить полезную модель от других объектов. Более того, и ранее объектом полезной модели в соответствии с Правилами могло являться лишь устройство либо применение полезной модели по определённому назначению. </w:t>
      </w:r>
      <w:r>
        <w:tab/>
      </w:r>
    </w:p>
    <w:p w:rsidR="00717613" w:rsidRDefault="00717613" w:rsidP="00717613">
      <w:pPr>
        <w:autoSpaceDE w:val="0"/>
        <w:autoSpaceDN w:val="0"/>
        <w:adjustRightInd w:val="0"/>
      </w:pPr>
    </w:p>
    <w:p w:rsidR="00717613" w:rsidRDefault="00717613" w:rsidP="00717613">
      <w:pPr>
        <w:autoSpaceDE w:val="0"/>
        <w:autoSpaceDN w:val="0"/>
        <w:adjustRightInd w:val="0"/>
      </w:pPr>
      <w:r>
        <w:tab/>
        <w:t>Понятие устройства применительно к полезной модели совпадает с понятием устройства применительно к изобретению. Именно поэтому законодательство содержит институт преобразования заявки, в соответствии с которым заявка на полезную модель может быть преобразована в заявку на изобретение, а заявка на изобретение – в заявку на полезную модель.</w:t>
      </w:r>
    </w:p>
    <w:p w:rsidR="00717613" w:rsidRDefault="00717613" w:rsidP="00717613">
      <w:pPr>
        <w:autoSpaceDE w:val="0"/>
        <w:autoSpaceDN w:val="0"/>
        <w:adjustRightInd w:val="0"/>
        <w:rPr>
          <w:i/>
          <w:iCs/>
        </w:rPr>
      </w:pPr>
    </w:p>
    <w:p w:rsidR="00717613" w:rsidRDefault="00717613" w:rsidP="00717613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ab/>
        <w:t>Не охраняются в качестве полезной модели:</w:t>
      </w:r>
    </w:p>
    <w:p w:rsidR="00717613" w:rsidRDefault="00717613" w:rsidP="00717613">
      <w:pPr>
        <w:autoSpaceDE w:val="0"/>
        <w:autoSpaceDN w:val="0"/>
        <w:adjustRightInd w:val="0"/>
      </w:pPr>
      <w:r>
        <w:sym w:font="Times New Roman" w:char="F02D"/>
      </w:r>
      <w:r>
        <w:sym w:font="Times New Roman" w:char="F020"/>
      </w:r>
      <w:r>
        <w:t>решения, касающиеся только внешнего вида изделий и направленные на удовлетворение эстетических потребностей;</w:t>
      </w:r>
    </w:p>
    <w:p w:rsidR="00717613" w:rsidRDefault="00717613" w:rsidP="00717613">
      <w:pPr>
        <w:autoSpaceDE w:val="0"/>
        <w:autoSpaceDN w:val="0"/>
        <w:adjustRightInd w:val="0"/>
      </w:pPr>
      <w:r>
        <w:sym w:font="Times New Roman" w:char="F02D"/>
      </w:r>
      <w:r>
        <w:sym w:font="Times New Roman" w:char="F020"/>
      </w:r>
      <w:r>
        <w:t>топологии интегральных микросхем;</w:t>
      </w:r>
    </w:p>
    <w:p w:rsidR="00717613" w:rsidRDefault="00717613" w:rsidP="00717613">
      <w:pPr>
        <w:autoSpaceDE w:val="0"/>
        <w:autoSpaceDN w:val="0"/>
        <w:adjustRightInd w:val="0"/>
      </w:pPr>
      <w:r>
        <w:sym w:font="Times New Roman" w:char="F02D"/>
      </w:r>
      <w:r>
        <w:sym w:font="Times New Roman" w:char="F020"/>
      </w:r>
      <w:r>
        <w:t>решения, противоречащие общественным интересам, принципам гуманности и морали;</w:t>
      </w:r>
    </w:p>
    <w:p w:rsidR="00717613" w:rsidRDefault="00717613" w:rsidP="00717613">
      <w:pPr>
        <w:autoSpaceDE w:val="0"/>
        <w:autoSpaceDN w:val="0"/>
        <w:adjustRightInd w:val="0"/>
      </w:pPr>
      <w:r>
        <w:sym w:font="Times New Roman" w:char="F02D"/>
      </w:r>
      <w:r>
        <w:sym w:font="Times New Roman" w:char="F020"/>
      </w:r>
      <w:r>
        <w:t>полезные модели, содержащие сведения, составляющие государственную тайну;</w:t>
      </w:r>
    </w:p>
    <w:p w:rsidR="00717613" w:rsidRDefault="00717613" w:rsidP="00717613">
      <w:pPr>
        <w:autoSpaceDE w:val="0"/>
        <w:autoSpaceDN w:val="0"/>
        <w:adjustRightInd w:val="0"/>
      </w:pPr>
      <w:r>
        <w:sym w:font="Times New Roman" w:char="F02D"/>
      </w:r>
      <w:r>
        <w:sym w:font="Times New Roman" w:char="F020"/>
      </w:r>
      <w:r>
        <w:t xml:space="preserve">объекты, не являющиеся техническим решением, относящимся </w:t>
      </w:r>
      <w:proofErr w:type="gramStart"/>
      <w:r>
        <w:t>к</w:t>
      </w:r>
      <w:proofErr w:type="gramEnd"/>
    </w:p>
    <w:p w:rsidR="00717613" w:rsidRDefault="00717613" w:rsidP="00717613">
      <w:pPr>
        <w:autoSpaceDE w:val="0"/>
        <w:autoSpaceDN w:val="0"/>
        <w:adjustRightInd w:val="0"/>
      </w:pPr>
      <w:r>
        <w:t>устройству.</w:t>
      </w:r>
    </w:p>
    <w:p w:rsidR="00717613" w:rsidRDefault="00717613" w:rsidP="00717613">
      <w:pPr>
        <w:autoSpaceDE w:val="0"/>
        <w:autoSpaceDN w:val="0"/>
        <w:adjustRightInd w:val="0"/>
      </w:pPr>
    </w:p>
    <w:p w:rsidR="00064404" w:rsidRDefault="00064404">
      <w:bookmarkStart w:id="0" w:name="_GoBack"/>
      <w:bookmarkEnd w:id="0"/>
    </w:p>
    <w:sectPr w:rsidR="0006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3B1"/>
    <w:rsid w:val="00064404"/>
    <w:rsid w:val="005C33B1"/>
    <w:rsid w:val="0071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6513</Characters>
  <Application>Microsoft Office Word</Application>
  <DocSecurity>0</DocSecurity>
  <Lines>54</Lines>
  <Paragraphs>15</Paragraphs>
  <ScaleCrop>false</ScaleCrop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2016-11-17T08:04:00Z</dcterms:created>
  <dcterms:modified xsi:type="dcterms:W3CDTF">2016-11-17T08:04:00Z</dcterms:modified>
</cp:coreProperties>
</file>