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78" w:rsidRPr="00B66BFD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04DF8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>Промышленный образец</w:t>
      </w:r>
      <w:r w:rsidRPr="00B66BFD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</w:p>
    <w:p w:rsidR="00E57078" w:rsidRPr="00B66BFD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br/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ab/>
        <w:t xml:space="preserve">В соответствии с ч.1 ст. 1352 ГК РФ </w:t>
      </w:r>
      <w:r w:rsidRPr="00B66BFD">
        <w:rPr>
          <w:rFonts w:ascii="Times New Roman" w:eastAsia="Times New Roman" w:hAnsi="Times New Roman" w:cs="Times New Roman"/>
          <w:b/>
          <w:color w:val="636363"/>
          <w:spacing w:val="15"/>
          <w:sz w:val="24"/>
          <w:szCs w:val="24"/>
          <w:lang w:eastAsia="ru-RU"/>
        </w:rPr>
        <w:t>промышленным образцом является художественно-конструкторское решение изделия промышленного или кустарно-ремесленного производства, определяющее его внешний вид.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  </w:t>
      </w:r>
    </w:p>
    <w:p w:rsidR="00E57078" w:rsidRPr="00B66BFD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Промышленному образцу предоставляется правовая охрана, если его существенные признаки, эстетические и (или) эргономические особенности его внешнего вида, являются </w:t>
      </w:r>
      <w:r w:rsidRPr="00B66BFD">
        <w:rPr>
          <w:rFonts w:ascii="Times New Roman" w:eastAsia="Times New Roman" w:hAnsi="Times New Roman" w:cs="Times New Roman"/>
          <w:b/>
          <w:color w:val="636363"/>
          <w:spacing w:val="15"/>
          <w:sz w:val="24"/>
          <w:szCs w:val="24"/>
          <w:lang w:eastAsia="ru-RU"/>
        </w:rPr>
        <w:t>новыми и оригинальными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(форма, конфигурация,   орнамент и сочетание цветов). Где художественное конструирование – это вид деятельности по проектированию промышленных изделий, обладающих высокими эстетическими и функциональными (техническими) качествами, т.е. дизайн. Эстетика - красота, художественность в оформлении. Эргономичность - дизайн оборудования, учитывающий взаимодействие человек-машина, направленный на повышение комфорта условий работы и снижение вероятности ошибки оператора. </w:t>
      </w:r>
    </w:p>
    <w:p w:rsidR="00E57078" w:rsidRPr="00B66BFD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Из определения видно, </w:t>
      </w:r>
      <w:r w:rsidRPr="00B66BFD">
        <w:rPr>
          <w:rFonts w:ascii="Times New Roman" w:eastAsia="Times New Roman" w:hAnsi="Times New Roman" w:cs="Times New Roman"/>
          <w:b/>
          <w:color w:val="636363"/>
          <w:spacing w:val="15"/>
          <w:sz w:val="24"/>
          <w:szCs w:val="24"/>
          <w:lang w:eastAsia="ru-RU"/>
        </w:rPr>
        <w:t xml:space="preserve">что в отличие от изобретения, законодатель в отношении этого продукта не предъявляет требований к его техническому уровню (вкладу в технический прогресс), а делает акцент на его внешнюю привлекательность и удобство в использовании по назначению.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И что он произведен хотя бы в единичном экземпляре и готов к промышленному применению, ну а так как цель любой производственной организации заключается в возможности произвести и реализовать максимально возможное количество продукции, </w:t>
      </w:r>
      <w:r w:rsidRPr="00B66BFD">
        <w:rPr>
          <w:rFonts w:ascii="Times New Roman" w:eastAsia="Times New Roman" w:hAnsi="Times New Roman" w:cs="Times New Roman"/>
          <w:b/>
          <w:color w:val="636363"/>
          <w:spacing w:val="15"/>
          <w:sz w:val="24"/>
          <w:szCs w:val="24"/>
          <w:lang w:eastAsia="ru-RU"/>
        </w:rPr>
        <w:t>то в это изделие должна быть заложена возможность многократного тиражирования, т.е. серийность производства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. </w:t>
      </w:r>
    </w:p>
    <w:p w:rsidR="00E57078" w:rsidRPr="00B66BFD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b/>
          <w:color w:val="636363"/>
          <w:spacing w:val="15"/>
          <w:sz w:val="24"/>
          <w:szCs w:val="24"/>
          <w:lang w:eastAsia="ru-RU"/>
        </w:rPr>
        <w:t xml:space="preserve">Вторым его отличием от изобретения и полезной модели, является то, что как дизайнерское по природе решение имеет своего рода двойника из числа объектов авторского права.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Речь идет о произведениях декоративно-прикладного искусства и дизайна. Подобная ситуация, порождающая двойную охрану аналогичных по существу объектов, вызывает неоднозначную оценку специалистов, прежде всего, по вопросу о том, имеются ли существенные отличия между промышленным образцом и произведениями декоративно-прикладного искусства и дизайна. На наш взгляд, между ними есть, по меньшей мере, три наиболее значимых отличия: </w:t>
      </w:r>
    </w:p>
    <w:p w:rsidR="00E57078" w:rsidRPr="00B66BFD" w:rsidRDefault="00E57078" w:rsidP="0035050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а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)о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бусловлено различными правовыми режимами признания указанных объектов. Промышленные образцы становятся охраняемыми объектами по результатам их экспертной оценки и официального признания в качестве таковых, а не с момента их выражения в объективной форме, что характерно для произведений декоративно-прикладного искусства и дизайна; </w:t>
      </w:r>
    </w:p>
    <w:p w:rsidR="00E57078" w:rsidRPr="00B66BFD" w:rsidRDefault="00E57078" w:rsidP="0035050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б) связано со сроками действия правовой охраны; Для промышленных образцов этот срок равняется пятнадцати годам, исчисляемым со дня подачи заявки на выдачу патента. Что касается произведений, то авторское право на них действует в течение всей жизни автора и семидесяти лет, считая с 1 января года, следующего за годом смерти автора. </w:t>
      </w:r>
    </w:p>
    <w:p w:rsidR="00E57078" w:rsidRPr="00B66BFD" w:rsidRDefault="00E57078" w:rsidP="0035050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в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)к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асается юридически значимых сторон промышленного образца и произведения декоративно-прикладного искусства. В промышленном образце юридически 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значимыми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выступают как функциональная (техническая), так и эстетическая (художественная) стороны, в то время как в произведении декоративно-прикладного искусства, юридически значима лишь художественная сторона. </w:t>
      </w:r>
    </w:p>
    <w:p w:rsidR="00E57078" w:rsidRPr="00B66BFD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Если обратиться к энциклопедии, то мы увидим, что промышленный образец может быть объемным, плоскостным (двухмерным) или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lastRenderedPageBreak/>
        <w:t xml:space="preserve">комбинированным, что находит подтверждение в трудах различных авторов по интеллектуальной собственности, а в частности у С. А. </w:t>
      </w:r>
      <w:proofErr w:type="spell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Сударикова</w:t>
      </w:r>
      <w:proofErr w:type="spell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. Давайте рассмотрим их подробнее: </w:t>
      </w:r>
    </w:p>
    <w:p w:rsidR="00E57078" w:rsidRPr="00B66BFD" w:rsidRDefault="00E57078" w:rsidP="0035050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А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)о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бъемным промышленным образцом является решение, определяющее форму и внешний вид продукта (товара); станка, люстры, автомобиля, детали машины и т.д.;  </w:t>
      </w:r>
    </w:p>
    <w:p w:rsidR="00E57078" w:rsidRPr="00B66BFD" w:rsidRDefault="00E57078" w:rsidP="0035050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Б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)п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лоскостным (двухмерным) является решение, по оформлению внешнего вида продукта (товара), способом сочетания цветов, использование в оформлении живописи и графики, орнамента, к примеру: оформление ковров, игрушек, ваз и т. д.;</w:t>
      </w:r>
    </w:p>
    <w:p w:rsidR="00E57078" w:rsidRPr="00B66BFD" w:rsidRDefault="00E57078" w:rsidP="0035050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В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)к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омбинированным промышленным образцом является решение, объединяющее первые два вида, например внеш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softHyphen/>
        <w:t xml:space="preserve">ний вид информационного табло, циферблата часов и т. п., и оно является наиболее распространенным </w:t>
      </w:r>
    </w:p>
    <w:p w:rsidR="00543DD6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Стоит заметить, что промышленным образцом могут быть: единичное целое изделие, его часть и комплект (набор) изделий, а также и варианты изделия.  В качестве промышленного образца может быть заявлена часть продукта (изделия), если она предназначена для унифицированного применения, то есть может быть использована с целым рядом изделий, и обладает самостоятельной функцией и завершенной композицией. Например, самостоятельным промышленным образцом могут быть признаны детали тюнинга для автомобиля, фары, различного рода ручки, седло для велосипеда и т. п</w:t>
      </w:r>
      <w:r w:rsidR="00543DD6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.</w:t>
      </w:r>
    </w:p>
    <w:p w:rsidR="00E57078" w:rsidRPr="00B04DF8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</w:pP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Комплект (набор) изделий признается промышленным образцом, если входящие в его состав элементы, выполняющие разнообразные функции, отличные друг от друга, подчинены общей задаче, решаемой комплектом в целом. 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Например, как промышленный образец могут быть зарегистрированы столовый сервиз, мебельный гарнитур, набор инструментов и т. п. Вариантами промышленного образца может быть художественно-конструкторское решение одних и тех же продуктов (изделий), </w:t>
      </w:r>
      <w:r w:rsidRPr="00B04DF8">
        <w:rPr>
          <w:rFonts w:ascii="Times New Roman" w:eastAsia="Times New Roman" w:hAnsi="Times New Roman" w:cs="Times New Roman"/>
          <w:b/>
          <w:bCs/>
          <w:color w:val="636363"/>
          <w:spacing w:val="15"/>
          <w:sz w:val="24"/>
          <w:szCs w:val="24"/>
          <w:lang w:eastAsia="ru-RU"/>
        </w:rPr>
        <w:t>«Суд указал, что наличие в изделии ответчика дополнительных признаков, помимо всех существенных признаков охраняемого патентом промышленного образца истца, не может служить основанием отказа в признании факта изготовления изделия ответчика с использованием</w:t>
      </w:r>
      <w:proofErr w:type="gramEnd"/>
      <w:r w:rsidRPr="00B04DF8">
        <w:rPr>
          <w:rFonts w:ascii="Times New Roman" w:eastAsia="Times New Roman" w:hAnsi="Times New Roman" w:cs="Times New Roman"/>
          <w:b/>
          <w:bCs/>
          <w:color w:val="636363"/>
          <w:spacing w:val="15"/>
          <w:sz w:val="24"/>
          <w:szCs w:val="24"/>
          <w:lang w:eastAsia="ru-RU"/>
        </w:rPr>
        <w:t xml:space="preserve"> запатентованного промышленного образца.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ab/>
        <w:t xml:space="preserve">Общество с ограниченной ответственностью обратилось в арбитражный суд с иском к другому обществу с требованием прекратить действия, нарушающие исключительные права истца - обладателя патента на промышленный образец, выразившиеся в изготовлении и монтаже </w:t>
      </w:r>
      <w:proofErr w:type="spell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рекламоносителей</w:t>
      </w:r>
      <w:proofErr w:type="spell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, и демонтировать </w:t>
      </w:r>
      <w:proofErr w:type="spell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рекламоносители</w:t>
      </w:r>
      <w:proofErr w:type="spell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ответчика. Ответчик против удовлетворения заявленных требований возражал, указывая на не идентичность изготовленных им </w:t>
      </w:r>
      <w:proofErr w:type="spell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рекламоносителей</w:t>
      </w:r>
      <w:proofErr w:type="spell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промышленным образцам истца. Суд установил, что истец является обладателем патента на промышленный образец. Определением арбитражного суда назначена экспертиза для разрешения требующего специальных познаний вопроса о наличии или отсутствии в размещенных ответчиком </w:t>
      </w:r>
      <w:proofErr w:type="spell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рекламоносителях</w:t>
      </w:r>
      <w:proofErr w:type="spell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всех существенных признаков промышленного образца по патенту истца. Экспертизой установлено наличие в </w:t>
      </w:r>
      <w:proofErr w:type="spell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рекламоносителях</w:t>
      </w:r>
      <w:proofErr w:type="spell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ответчика как всех существенных признаков промышленного образца по патенту истца, так и некоторых дополнительных признаков. Несмотря на имеющиеся различия между промышленным образцом истца и объектами, изготовленными ответчиком, суд заявленные требования удовлетворил, указав, что Патентный закон не требует для признания факта нарушения патента на промышленный образец полной идентичности художественно-конструкторского решения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lastRenderedPageBreak/>
        <w:t xml:space="preserve">изделия, защищенного патентом, и изделия, изготовленного иным лицом. Наличие в изделии ответчика дополнительных признаков, помимо всех существенных признаков охраняемого патентом промышленного образца истца, не является основанием отказа в признании факта изготовления изделия ответчика с использованием запатентованного промышленного образца.»[1]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ab/>
        <w:t xml:space="preserve">Отсюда мы видим, что формула патентоспособного решения, играет основополагающую роль как для признания его результатом интеллектуальной </w:t>
      </w:r>
      <w:proofErr w:type="gramStart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деятельности</w:t>
      </w:r>
      <w:proofErr w:type="gramEnd"/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охраняемым патентным правом, так и для его охраны. 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br/>
      </w:r>
      <w:r w:rsidRPr="00B66BFD">
        <w:rPr>
          <w:rFonts w:ascii="Times New Roman" w:eastAsia="Times New Roman" w:hAnsi="Times New Roman" w:cs="Times New Roman"/>
          <w:b/>
          <w:bCs/>
          <w:color w:val="636363"/>
          <w:spacing w:val="15"/>
          <w:sz w:val="24"/>
          <w:szCs w:val="24"/>
          <w:lang w:eastAsia="ru-RU"/>
        </w:rPr>
        <w:br/>
      </w:r>
      <w:r w:rsidRPr="00B04DF8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А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 xml:space="preserve">нализ объектов патентного права </w:t>
      </w:r>
      <w:r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показывает</w:t>
      </w:r>
      <w:r w:rsidRPr="00B66BFD">
        <w:rPr>
          <w:rFonts w:ascii="Times New Roman" w:eastAsia="Times New Roman" w:hAnsi="Times New Roman" w:cs="Times New Roman"/>
          <w:color w:val="636363"/>
          <w:spacing w:val="15"/>
          <w:sz w:val="24"/>
          <w:szCs w:val="24"/>
          <w:lang w:eastAsia="ru-RU"/>
        </w:rPr>
        <w:t>, что ими являются технические идеи, в том числе и осуществленные, и продукция производственных организаций, созданная творческим трудом (оригиналы), отвечающие установленным законодательством требованиям. В отличие от произведений искусства, литературы и науки, направленных на развитие культурных ценностей и удовлетворение познавательных нужд человека, объекты патентного права предназначены только для развития индустриальных возможностей цивилизации и удовлетворения материальных нужд человека и общества. Небольшое исключение здесь составляют промышленные образцы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rPr>
          <w:b/>
        </w:rPr>
        <w:t>Назначение патента на промышленный образец</w:t>
      </w:r>
      <w:r w:rsidRPr="00B04DF8">
        <w:t xml:space="preserve"> - </w:t>
      </w:r>
      <w:r w:rsidRPr="00B04DF8">
        <w:rPr>
          <w:i/>
          <w:iCs/>
        </w:rPr>
        <w:t>обеспечить защиту прав законных владельцев</w:t>
      </w:r>
      <w:r w:rsidRPr="00B04DF8">
        <w:t xml:space="preserve"> подобных художественно-конструкторских решений от несанкционированного использования или копирования другими лицами. 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 xml:space="preserve">Патент на промышленный образец, изданный от имени государства, гарантирует более весомую правовую защиту, нежели авторское право, охраняющее произведения дизайна без какого-либо государственного удостоверения. 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Основные требования к промышленному образцу - это мировая новизна и оригинальность.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 xml:space="preserve">Патент на промышленный образец действует до истечения десяти лет </w:t>
      </w:r>
      <w:proofErr w:type="gramStart"/>
      <w:r w:rsidRPr="00B04DF8">
        <w:t>с даты подачи</w:t>
      </w:r>
      <w:proofErr w:type="gramEnd"/>
      <w:r w:rsidRPr="00B04DF8">
        <w:t xml:space="preserve"> заявки в Федеральную службу по интеллектуальной собственности, патентам и товарным знакам (Роспатент). Срок действия патента может быть продлен Роспатентом по ходатайству патентообладателя, но не более чем на пять лет</w:t>
      </w:r>
      <w:bookmarkStart w:id="0" w:name="_ftnref3"/>
      <w:r w:rsidRPr="00B04DF8">
        <w:fldChar w:fldCharType="begin"/>
      </w:r>
      <w:r w:rsidRPr="00B04DF8">
        <w:instrText xml:space="preserve"> HYPERLINK "http://www.bestreferat.ru/referat-199477.html" \l "_ftn3#_ftn3" \o "" </w:instrText>
      </w:r>
      <w:r w:rsidRPr="00B04DF8">
        <w:fldChar w:fldCharType="separate"/>
      </w:r>
      <w:r w:rsidRPr="00B04DF8">
        <w:rPr>
          <w:rStyle w:val="a3"/>
        </w:rPr>
        <w:t>[3]</w:t>
      </w:r>
      <w:r w:rsidRPr="00B04DF8">
        <w:fldChar w:fldCharType="end"/>
      </w:r>
      <w:bookmarkEnd w:id="0"/>
      <w:r w:rsidRPr="00B04DF8">
        <w:t>.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В соответствии со статьей 1377 ГК заявка на промышленный образец должна содержать: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1) заявление о выдаче патента с указанием автора промышленного образца и лица, на имя которого испрашивается патент, а также места жительства или места нахождения каждого из них;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2) комплект изображений изделия, дающих полное детальное представление о внешнем виде изделия;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3) чертеж общего вида изделия, эргономическую схему, конфекционную карту, если они необходимы для раскрытия сущности промышленного образца;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4) описание промышленного образца;</w:t>
      </w:r>
    </w:p>
    <w:p w:rsidR="00E57078" w:rsidRPr="00B04DF8" w:rsidRDefault="00E57078" w:rsidP="00350504">
      <w:pPr>
        <w:pStyle w:val="a4"/>
        <w:spacing w:before="0" w:beforeAutospacing="0" w:after="0" w:afterAutospacing="0"/>
        <w:jc w:val="both"/>
      </w:pPr>
      <w:r w:rsidRPr="00B04DF8">
        <w:t>5) перечень существенных признаков промышленного образца.</w:t>
      </w:r>
    </w:p>
    <w:p w:rsidR="00E57078" w:rsidRPr="00350504" w:rsidRDefault="00E57078" w:rsidP="00350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36363"/>
          <w:sz w:val="24"/>
          <w:szCs w:val="24"/>
          <w:lang w:eastAsia="ru-RU"/>
        </w:rPr>
      </w:pPr>
      <w:r w:rsidRPr="00B04DF8">
        <w:rPr>
          <w:rFonts w:ascii="Times New Roman" w:eastAsia="Times New Roman" w:hAnsi="Times New Roman" w:cs="Times New Roman"/>
          <w:b/>
          <w:bCs/>
          <w:color w:val="636363"/>
          <w:sz w:val="24"/>
          <w:szCs w:val="24"/>
          <w:lang w:eastAsia="ru-RU"/>
        </w:rPr>
        <w:t>Критерии патентоспособности промышленного образца</w:t>
      </w:r>
      <w:r w:rsidRPr="00B66BFD">
        <w:rPr>
          <w:rFonts w:ascii="Times New Roman" w:eastAsia="Times New Roman" w:hAnsi="Times New Roman" w:cs="Times New Roman"/>
          <w:color w:val="636363"/>
          <w:sz w:val="24"/>
          <w:szCs w:val="24"/>
          <w:lang w:eastAsia="ru-RU"/>
        </w:rPr>
        <w:t xml:space="preserve"> </w:t>
      </w:r>
      <w:r w:rsidRPr="00B04DF8">
        <w:rPr>
          <w:rFonts w:ascii="Times New Roman" w:eastAsia="Times New Roman" w:hAnsi="Times New Roman" w:cs="Times New Roman"/>
          <w:b/>
          <w:bCs/>
          <w:color w:val="636363"/>
          <w:sz w:val="24"/>
          <w:szCs w:val="24"/>
          <w:lang w:eastAsia="ru-RU"/>
        </w:rPr>
        <w:t> </w:t>
      </w:r>
      <w:r w:rsidR="00350504">
        <w:rPr>
          <w:rFonts w:ascii="Times New Roman" w:eastAsia="Times New Roman" w:hAnsi="Times New Roman" w:cs="Times New Roman"/>
          <w:b/>
          <w:bCs/>
          <w:color w:val="636363"/>
          <w:sz w:val="24"/>
          <w:szCs w:val="24"/>
          <w:lang w:eastAsia="ru-RU"/>
        </w:rPr>
        <w:t xml:space="preserve"> </w:t>
      </w:r>
      <w:proofErr w:type="gramStart"/>
      <w:r w:rsidR="00350504">
        <w:rPr>
          <w:rFonts w:ascii="Times New Roman" w:eastAsia="Times New Roman" w:hAnsi="Times New Roman" w:cs="Times New Roman"/>
          <w:b/>
          <w:bCs/>
          <w:color w:val="636363"/>
          <w:sz w:val="24"/>
          <w:szCs w:val="24"/>
          <w:lang w:eastAsia="ru-RU"/>
        </w:rPr>
        <w:t>-</w:t>
      </w:r>
      <w:r w:rsidR="00350504" w:rsidRPr="00350504">
        <w:rPr>
          <w:rFonts w:ascii="Times New Roman" w:eastAsia="Times New Roman" w:hAnsi="Times New Roman" w:cs="Times New Roman"/>
          <w:bCs/>
          <w:color w:val="636363"/>
          <w:sz w:val="24"/>
          <w:szCs w:val="24"/>
          <w:lang w:eastAsia="ru-RU"/>
        </w:rPr>
        <w:t>с</w:t>
      </w:r>
      <w:proofErr w:type="gramEnd"/>
      <w:r w:rsidR="00350504" w:rsidRPr="00350504">
        <w:rPr>
          <w:rFonts w:ascii="Times New Roman" w:eastAsia="Times New Roman" w:hAnsi="Times New Roman" w:cs="Times New Roman"/>
          <w:bCs/>
          <w:color w:val="636363"/>
          <w:sz w:val="24"/>
          <w:szCs w:val="24"/>
          <w:lang w:eastAsia="ru-RU"/>
        </w:rPr>
        <w:t>м в файле «критерии патентоспособности»</w:t>
      </w:r>
      <w:r w:rsidRPr="00350504">
        <w:rPr>
          <w:rFonts w:ascii="Times New Roman" w:eastAsia="Times New Roman" w:hAnsi="Times New Roman" w:cs="Times New Roman"/>
          <w:color w:val="636363"/>
          <w:sz w:val="24"/>
          <w:szCs w:val="24"/>
          <w:lang w:eastAsia="ru-RU"/>
        </w:rPr>
        <w:t xml:space="preserve"> </w:t>
      </w:r>
      <w:bookmarkStart w:id="1" w:name="_GoBack"/>
      <w:bookmarkEnd w:id="1"/>
    </w:p>
    <w:sectPr w:rsidR="00E57078" w:rsidRPr="0035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F461A"/>
    <w:multiLevelType w:val="hybridMultilevel"/>
    <w:tmpl w:val="4036AF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B0D39A7"/>
    <w:multiLevelType w:val="hybridMultilevel"/>
    <w:tmpl w:val="DD5C95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23"/>
    <w:rsid w:val="002C4F1F"/>
    <w:rsid w:val="00350504"/>
    <w:rsid w:val="00413153"/>
    <w:rsid w:val="00543DD6"/>
    <w:rsid w:val="00E15F23"/>
    <w:rsid w:val="00E5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7078"/>
    <w:rPr>
      <w:strike w:val="0"/>
      <w:dstrike w:val="0"/>
      <w:color w:val="6600CC"/>
      <w:u w:val="none"/>
      <w:effect w:val="none"/>
    </w:rPr>
  </w:style>
  <w:style w:type="paragraph" w:styleId="a4">
    <w:name w:val="Normal (Web)"/>
    <w:basedOn w:val="a"/>
    <w:rsid w:val="00E57078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7078"/>
    <w:rPr>
      <w:strike w:val="0"/>
      <w:dstrike w:val="0"/>
      <w:color w:val="6600CC"/>
      <w:u w:val="none"/>
      <w:effect w:val="none"/>
    </w:rPr>
  </w:style>
  <w:style w:type="paragraph" w:styleId="a4">
    <w:name w:val="Normal (Web)"/>
    <w:basedOn w:val="a"/>
    <w:rsid w:val="00E57078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2016-11-17T08:05:00Z</dcterms:created>
  <dcterms:modified xsi:type="dcterms:W3CDTF">2017-11-27T12:07:00Z</dcterms:modified>
</cp:coreProperties>
</file>